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宋体" w:hAnsi="宋体"/>
          <w:color w:val="auto"/>
          <w:sz w:val="52"/>
          <w:szCs w:val="52"/>
          <w:highlight w:val="none"/>
        </w:rPr>
      </w:pPr>
      <w:bookmarkStart w:id="0" w:name="_Toc2136"/>
      <w:bookmarkStart w:id="1" w:name="_Toc17951"/>
      <w:bookmarkStart w:id="2" w:name="_Toc28707"/>
      <w:bookmarkStart w:id="3" w:name="_Toc12099"/>
      <w:bookmarkStart w:id="4" w:name="_Toc9417"/>
      <w:bookmarkStart w:id="5" w:name="_Toc9825"/>
      <w:bookmarkStart w:id="6" w:name="_Toc9325"/>
      <w:bookmarkStart w:id="7" w:name="_Toc30283"/>
      <w:bookmarkStart w:id="8" w:name="_Toc6727"/>
      <w:r>
        <w:rPr>
          <w:rFonts w:ascii="宋体" w:hAnsi="宋体"/>
          <w:color w:val="auto"/>
          <w:sz w:val="52"/>
          <w:szCs w:val="52"/>
          <w:highlight w:val="none"/>
        </w:rPr>
        <w:drawing>
          <wp:anchor distT="0" distB="0" distL="114300" distR="114300" simplePos="0" relativeHeight="251661312" behindDoc="0" locked="0" layoutInCell="1" allowOverlap="1">
            <wp:simplePos x="0" y="0"/>
            <wp:positionH relativeFrom="column">
              <wp:posOffset>-844550</wp:posOffset>
            </wp:positionH>
            <wp:positionV relativeFrom="paragraph">
              <wp:posOffset>-1096645</wp:posOffset>
            </wp:positionV>
            <wp:extent cx="7595870" cy="2753360"/>
            <wp:effectExtent l="0" t="0" r="5080" b="8890"/>
            <wp:wrapNone/>
            <wp:docPr id="1"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模板-3"/>
                    <pic:cNvPicPr>
                      <a:picLocks noChangeAspect="1"/>
                    </pic:cNvPicPr>
                  </pic:nvPicPr>
                  <pic:blipFill>
                    <a:blip r:embed="rId10"/>
                    <a:stretch>
                      <a:fillRect/>
                    </a:stretch>
                  </pic:blipFill>
                  <pic:spPr>
                    <a:xfrm>
                      <a:off x="0" y="0"/>
                      <a:ext cx="7595870" cy="2753360"/>
                    </a:xfrm>
                    <a:prstGeom prst="rect">
                      <a:avLst/>
                    </a:prstGeom>
                    <a:noFill/>
                    <a:ln>
                      <a:noFill/>
                    </a:ln>
                  </pic:spPr>
                </pic:pic>
              </a:graphicData>
            </a:graphic>
          </wp:anchor>
        </w:drawing>
      </w:r>
    </w:p>
    <w:p>
      <w:pPr>
        <w:spacing w:before="480"/>
        <w:jc w:val="center"/>
        <w:rPr>
          <w:rFonts w:hint="eastAsia" w:eastAsia="黑体"/>
          <w:b/>
          <w:color w:val="auto"/>
          <w:sz w:val="52"/>
          <w:szCs w:val="52"/>
          <w:highlight w:val="none"/>
        </w:rPr>
      </w:pPr>
    </w:p>
    <w:p>
      <w:pPr>
        <w:spacing w:before="480"/>
        <w:jc w:val="center"/>
        <w:rPr>
          <w:rFonts w:hint="eastAsia" w:eastAsia="黑体"/>
          <w:b/>
          <w:color w:val="auto"/>
          <w:sz w:val="52"/>
          <w:szCs w:val="52"/>
          <w:highlight w:val="none"/>
        </w:rPr>
      </w:pPr>
    </w:p>
    <w:p>
      <w:pPr>
        <w:spacing w:before="480"/>
        <w:jc w:val="center"/>
        <w:rPr>
          <w:rFonts w:hint="eastAsia" w:eastAsia="黑体"/>
          <w:b/>
          <w:color w:val="auto"/>
          <w:sz w:val="52"/>
          <w:szCs w:val="52"/>
          <w:highlight w:val="none"/>
        </w:rPr>
      </w:pPr>
    </w:p>
    <w:p>
      <w:pPr>
        <w:adjustRightInd w:val="0"/>
        <w:snapToGrid w:val="0"/>
        <w:spacing w:line="480" w:lineRule="exact"/>
        <w:jc w:val="center"/>
        <w:textAlignment w:val="baseline"/>
        <w:outlineLvl w:val="0"/>
        <w:rPr>
          <w:rFonts w:hint="eastAsia" w:hAnsi="宋体"/>
          <w:b/>
          <w:bCs/>
          <w:color w:val="auto"/>
          <w:kern w:val="0"/>
          <w:sz w:val="32"/>
          <w:szCs w:val="32"/>
          <w:highlight w:val="none"/>
        </w:rPr>
      </w:pPr>
    </w:p>
    <w:p>
      <w:pPr>
        <w:adjustRightInd w:val="0"/>
        <w:snapToGrid w:val="0"/>
        <w:spacing w:line="480" w:lineRule="exact"/>
        <w:jc w:val="center"/>
        <w:textAlignment w:val="baseline"/>
        <w:outlineLvl w:val="0"/>
        <w:rPr>
          <w:rFonts w:hint="eastAsia" w:hAnsi="宋体"/>
          <w:b/>
          <w:bCs/>
          <w:color w:val="auto"/>
          <w:kern w:val="0"/>
          <w:sz w:val="32"/>
          <w:szCs w:val="32"/>
          <w:highlight w:val="none"/>
        </w:rPr>
      </w:pPr>
    </w:p>
    <w:p>
      <w:pPr>
        <w:adjustRightInd w:val="0"/>
        <w:snapToGrid w:val="0"/>
        <w:spacing w:line="480" w:lineRule="exact"/>
        <w:jc w:val="center"/>
        <w:textAlignment w:val="baseline"/>
        <w:outlineLvl w:val="0"/>
        <w:rPr>
          <w:rFonts w:hint="eastAsia" w:hAnsi="宋体"/>
          <w:b/>
          <w:bCs/>
          <w:color w:val="auto"/>
          <w:kern w:val="0"/>
          <w:sz w:val="32"/>
          <w:szCs w:val="32"/>
          <w:highlight w:val="none"/>
        </w:rPr>
      </w:pPr>
    </w:p>
    <w:p>
      <w:pPr>
        <w:spacing w:before="480"/>
        <w:jc w:val="center"/>
        <w:rPr>
          <w:rFonts w:hint="eastAsia" w:eastAsia="黑体"/>
          <w:b/>
          <w:color w:val="auto"/>
          <w:sz w:val="52"/>
          <w:szCs w:val="52"/>
          <w:highlight w:val="none"/>
        </w:rPr>
      </w:pPr>
      <w:bookmarkStart w:id="82" w:name="_GoBack"/>
      <w:r>
        <w:rPr>
          <w:rFonts w:hint="eastAsia" w:eastAsia="黑体"/>
          <w:b/>
          <w:color w:val="auto"/>
          <w:sz w:val="52"/>
          <w:szCs w:val="52"/>
          <w:highlight w:val="none"/>
          <w:lang w:val="en-US" w:eastAsia="zh-CN"/>
        </w:rPr>
        <w:t>电磁锁</w:t>
      </w:r>
      <w:r>
        <w:rPr>
          <w:rFonts w:hint="eastAsia" w:eastAsia="黑体"/>
          <w:b/>
          <w:color w:val="auto"/>
          <w:sz w:val="52"/>
          <w:szCs w:val="52"/>
          <w:highlight w:val="none"/>
        </w:rPr>
        <w:t>技</w:t>
      </w:r>
      <w:bookmarkEnd w:id="82"/>
      <w:r>
        <w:rPr>
          <w:rFonts w:hint="eastAsia" w:eastAsia="黑体"/>
          <w:b/>
          <w:color w:val="auto"/>
          <w:sz w:val="52"/>
          <w:szCs w:val="52"/>
          <w:highlight w:val="none"/>
        </w:rPr>
        <w:t>术规范书</w:t>
      </w:r>
    </w:p>
    <w:p>
      <w:pPr>
        <w:spacing w:before="624" w:beforeLines="200" w:line="360" w:lineRule="auto"/>
        <w:jc w:val="center"/>
        <w:rPr>
          <w:rFonts w:hint="eastAsia" w:ascii="黑体" w:hAnsi="黑体" w:eastAsia="黑体"/>
          <w:b/>
          <w:color w:val="auto"/>
          <w:sz w:val="52"/>
          <w:szCs w:val="52"/>
          <w:highlight w:val="none"/>
        </w:rPr>
      </w:pPr>
    </w:p>
    <w:p>
      <w:pPr>
        <w:spacing w:before="480"/>
        <w:jc w:val="center"/>
        <w:rPr>
          <w:rFonts w:hint="eastAsia" w:eastAsia="黑体"/>
          <w:b/>
          <w:color w:val="auto"/>
          <w:sz w:val="36"/>
          <w:highlight w:val="none"/>
        </w:rPr>
      </w:pPr>
    </w:p>
    <w:p>
      <w:pPr>
        <w:spacing w:before="480"/>
        <w:rPr>
          <w:rFonts w:hint="eastAsia" w:eastAsia="黑体"/>
          <w:b/>
          <w:color w:val="auto"/>
          <w:sz w:val="36"/>
          <w:highlight w:val="none"/>
        </w:rPr>
      </w:pPr>
    </w:p>
    <w:p>
      <w:pPr>
        <w:spacing w:before="480"/>
        <w:rPr>
          <w:rFonts w:hint="eastAsia" w:eastAsia="黑体"/>
          <w:b/>
          <w:color w:val="auto"/>
          <w:sz w:val="36"/>
          <w:highlight w:val="none"/>
        </w:rPr>
      </w:pPr>
    </w:p>
    <w:p>
      <w:pPr>
        <w:spacing w:before="624" w:beforeLines="200" w:line="240" w:lineRule="exact"/>
        <w:jc w:val="center"/>
        <w:rPr>
          <w:rFonts w:hint="eastAsia" w:ascii="黑体" w:hAnsi="黑体" w:eastAsia="黑体"/>
          <w:b/>
          <w:color w:val="auto"/>
          <w:sz w:val="30"/>
          <w:szCs w:val="30"/>
          <w:highlight w:val="none"/>
        </w:rPr>
      </w:pPr>
      <w:r>
        <w:rPr>
          <w:rFonts w:hint="eastAsia" w:ascii="黑体" w:hAnsi="黑体" w:eastAsia="黑体"/>
          <w:b/>
          <w:color w:val="auto"/>
          <w:sz w:val="30"/>
          <w:szCs w:val="30"/>
          <w:highlight w:val="none"/>
          <w:lang w:val="en-US" w:eastAsia="zh-CN"/>
        </w:rPr>
        <w:t>海南</w:t>
      </w:r>
      <w:r>
        <w:rPr>
          <w:rFonts w:hint="eastAsia" w:ascii="黑体" w:hAnsi="黑体" w:eastAsia="黑体"/>
          <w:b/>
          <w:color w:val="auto"/>
          <w:sz w:val="30"/>
          <w:szCs w:val="30"/>
          <w:highlight w:val="none"/>
        </w:rPr>
        <w:t>电网有限责任公司</w:t>
      </w:r>
    </w:p>
    <w:p>
      <w:pPr>
        <w:spacing w:before="624" w:beforeLines="200" w:line="240" w:lineRule="exact"/>
        <w:jc w:val="center"/>
        <w:rPr>
          <w:rFonts w:hint="eastAsia" w:hAnsi="宋体"/>
          <w:b/>
          <w:bCs/>
          <w:color w:val="auto"/>
          <w:kern w:val="0"/>
          <w:sz w:val="32"/>
          <w:szCs w:val="32"/>
          <w:highlight w:val="none"/>
        </w:rPr>
      </w:pPr>
      <w:r>
        <w:rPr>
          <w:rFonts w:hint="eastAsia" w:ascii="黑体" w:hAnsi="黑体" w:eastAsia="黑体"/>
          <w:b/>
          <w:color w:val="auto"/>
          <w:spacing w:val="20"/>
          <w:w w:val="135"/>
          <w:sz w:val="30"/>
          <w:szCs w:val="30"/>
          <w:highlight w:val="none"/>
        </w:rPr>
        <w:t>202</w:t>
      </w:r>
      <w:r>
        <w:rPr>
          <w:rFonts w:hint="eastAsia" w:ascii="黑体" w:hAnsi="黑体" w:eastAsia="黑体"/>
          <w:b/>
          <w:color w:val="auto"/>
          <w:spacing w:val="20"/>
          <w:w w:val="135"/>
          <w:sz w:val="30"/>
          <w:szCs w:val="30"/>
          <w:highlight w:val="none"/>
          <w:lang w:val="en-US" w:eastAsia="zh-CN"/>
        </w:rPr>
        <w:t>5</w:t>
      </w:r>
      <w:r>
        <w:rPr>
          <w:rFonts w:hint="eastAsia" w:ascii="黑体" w:hAnsi="黑体" w:eastAsia="黑体"/>
          <w:b/>
          <w:color w:val="auto"/>
          <w:spacing w:val="20"/>
          <w:w w:val="135"/>
          <w:sz w:val="30"/>
          <w:szCs w:val="30"/>
          <w:highlight w:val="none"/>
        </w:rPr>
        <w:t>年</w:t>
      </w:r>
      <w:r>
        <w:rPr>
          <w:rFonts w:hint="eastAsia" w:ascii="黑体" w:hAnsi="黑体" w:eastAsia="黑体"/>
          <w:b/>
          <w:color w:val="auto"/>
          <w:spacing w:val="20"/>
          <w:w w:val="135"/>
          <w:sz w:val="30"/>
          <w:szCs w:val="30"/>
          <w:highlight w:val="none"/>
          <w:lang w:val="en-US" w:eastAsia="zh-CN"/>
        </w:rPr>
        <w:t>4</w:t>
      </w:r>
      <w:r>
        <w:rPr>
          <w:rFonts w:hint="eastAsia" w:ascii="黑体" w:hAnsi="黑体" w:eastAsia="黑体"/>
          <w:b/>
          <w:color w:val="auto"/>
          <w:spacing w:val="20"/>
          <w:w w:val="135"/>
          <w:sz w:val="30"/>
          <w:szCs w:val="30"/>
          <w:highlight w:val="none"/>
        </w:rPr>
        <w:t>月</w:t>
      </w:r>
    </w:p>
    <w:p>
      <w:pPr>
        <w:adjustRightInd w:val="0"/>
        <w:snapToGrid w:val="0"/>
        <w:spacing w:line="480" w:lineRule="exact"/>
        <w:jc w:val="center"/>
        <w:textAlignment w:val="baseline"/>
        <w:outlineLvl w:val="0"/>
        <w:rPr>
          <w:rFonts w:hint="eastAsia" w:hAnsi="宋体"/>
          <w:b/>
          <w:bCs/>
          <w:color w:val="auto"/>
          <w:kern w:val="0"/>
          <w:sz w:val="32"/>
          <w:szCs w:val="32"/>
          <w:highlight w:val="none"/>
        </w:rPr>
      </w:pPr>
      <w:r>
        <w:rPr>
          <w:rFonts w:hAnsi="宋体"/>
          <w:b/>
          <w:bCs/>
          <w:color w:val="auto"/>
          <w:kern w:val="0"/>
          <w:sz w:val="32"/>
          <w:szCs w:val="32"/>
          <w:highlight w:val="none"/>
        </w:rPr>
        <w:br w:type="page"/>
      </w:r>
      <w:r>
        <w:rPr>
          <w:rFonts w:hAnsi="宋体"/>
          <w:b/>
          <w:bCs/>
          <w:color w:val="auto"/>
          <w:kern w:val="0"/>
          <w:sz w:val="32"/>
          <w:szCs w:val="32"/>
          <w:highlight w:val="none"/>
        </w:rPr>
        <w:t>目</w:t>
      </w:r>
      <w:r>
        <w:rPr>
          <w:b/>
          <w:bCs/>
          <w:color w:val="auto"/>
          <w:kern w:val="0"/>
          <w:sz w:val="32"/>
          <w:szCs w:val="32"/>
          <w:highlight w:val="none"/>
        </w:rPr>
        <w:t xml:space="preserve">    </w:t>
      </w:r>
      <w:r>
        <w:rPr>
          <w:rFonts w:hint="eastAsia" w:hAnsi="宋体"/>
          <w:b/>
          <w:bCs/>
          <w:color w:val="auto"/>
          <w:kern w:val="0"/>
          <w:sz w:val="32"/>
          <w:szCs w:val="32"/>
          <w:highlight w:val="none"/>
        </w:rPr>
        <w:t>录</w:t>
      </w:r>
      <w:bookmarkEnd w:id="0"/>
      <w:bookmarkEnd w:id="1"/>
      <w:bookmarkEnd w:id="2"/>
      <w:bookmarkEnd w:id="3"/>
      <w:bookmarkEnd w:id="4"/>
      <w:bookmarkEnd w:id="5"/>
      <w:bookmarkEnd w:id="6"/>
      <w:bookmarkEnd w:id="7"/>
      <w:bookmarkEnd w:id="8"/>
    </w:p>
    <w:p>
      <w:pPr>
        <w:spacing w:before="0" w:beforeLines="0" w:after="0" w:afterLines="0" w:line="240" w:lineRule="auto"/>
        <w:ind w:left="0" w:leftChars="0" w:right="0" w:rightChars="0" w:firstLine="0" w:firstLineChars="0"/>
        <w:jc w:val="center"/>
        <w:rPr>
          <w:color w:val="auto"/>
          <w:highlight w:val="none"/>
        </w:rPr>
      </w:pPr>
    </w:p>
    <w:p>
      <w:pPr>
        <w:pStyle w:val="14"/>
        <w:tabs>
          <w:tab w:val="right" w:leader="dot" w:pos="9298"/>
        </w:tabs>
        <w:rPr>
          <w:highlight w:val="none"/>
        </w:rPr>
      </w:pPr>
      <w:r>
        <w:rPr>
          <w:highlight w:val="none"/>
        </w:rPr>
        <w:fldChar w:fldCharType="begin"/>
      </w:r>
      <w:r>
        <w:rPr>
          <w:highlight w:val="none"/>
        </w:rPr>
        <w:instrText xml:space="preserve">TOC \o "1-1" \h \u </w:instrText>
      </w:r>
      <w:r>
        <w:rPr>
          <w:highlight w:val="none"/>
        </w:rPr>
        <w:fldChar w:fldCharType="separate"/>
      </w:r>
      <w:r>
        <w:rPr>
          <w:highlight w:val="none"/>
        </w:rPr>
        <w:fldChar w:fldCharType="begin"/>
      </w:r>
      <w:r>
        <w:rPr>
          <w:highlight w:val="none"/>
        </w:rPr>
        <w:instrText xml:space="preserve"> HYPERLINK \l _Toc8210 </w:instrText>
      </w:r>
      <w:r>
        <w:rPr>
          <w:highlight w:val="none"/>
        </w:rPr>
        <w:fldChar w:fldCharType="separate"/>
      </w:r>
      <w:r>
        <w:rPr>
          <w:bCs/>
          <w:highlight w:val="none"/>
        </w:rPr>
        <w:t>1、 总则</w:t>
      </w:r>
      <w:r>
        <w:rPr>
          <w:highlight w:val="none"/>
        </w:rPr>
        <w:tab/>
      </w:r>
      <w:r>
        <w:rPr>
          <w:highlight w:val="none"/>
        </w:rPr>
        <w:fldChar w:fldCharType="begin"/>
      </w:r>
      <w:r>
        <w:rPr>
          <w:highlight w:val="none"/>
        </w:rPr>
        <w:instrText xml:space="preserve"> PAGEREF _Toc8210 \h </w:instrText>
      </w:r>
      <w:r>
        <w:rPr>
          <w:highlight w:val="none"/>
        </w:rPr>
        <w:fldChar w:fldCharType="separate"/>
      </w:r>
      <w:r>
        <w:rPr>
          <w:highlight w:val="none"/>
        </w:rPr>
        <w:t>1</w:t>
      </w:r>
      <w:r>
        <w:rPr>
          <w:highlight w:val="none"/>
        </w:rPr>
        <w:fldChar w:fldCharType="end"/>
      </w:r>
      <w:r>
        <w:rPr>
          <w:highlight w:val="none"/>
        </w:rPr>
        <w:fldChar w:fldCharType="end"/>
      </w:r>
    </w:p>
    <w:p>
      <w:pPr>
        <w:pStyle w:val="14"/>
        <w:tabs>
          <w:tab w:val="right" w:leader="dot" w:pos="9298"/>
        </w:tabs>
        <w:rPr>
          <w:highlight w:val="none"/>
        </w:rPr>
      </w:pPr>
      <w:r>
        <w:rPr>
          <w:highlight w:val="none"/>
        </w:rPr>
        <w:fldChar w:fldCharType="begin"/>
      </w:r>
      <w:r>
        <w:rPr>
          <w:highlight w:val="none"/>
        </w:rPr>
        <w:instrText xml:space="preserve"> HYPERLINK \l _Toc11042 </w:instrText>
      </w:r>
      <w:r>
        <w:rPr>
          <w:highlight w:val="none"/>
        </w:rPr>
        <w:fldChar w:fldCharType="separate"/>
      </w:r>
      <w:r>
        <w:rPr>
          <w:bCs/>
          <w:highlight w:val="none"/>
        </w:rPr>
        <w:t>2、 应遵循的主要标准</w:t>
      </w:r>
      <w:r>
        <w:rPr>
          <w:highlight w:val="none"/>
        </w:rPr>
        <w:tab/>
      </w:r>
      <w:r>
        <w:rPr>
          <w:highlight w:val="none"/>
        </w:rPr>
        <w:fldChar w:fldCharType="begin"/>
      </w:r>
      <w:r>
        <w:rPr>
          <w:highlight w:val="none"/>
        </w:rPr>
        <w:instrText xml:space="preserve"> PAGEREF _Toc11042 \h </w:instrText>
      </w:r>
      <w:r>
        <w:rPr>
          <w:highlight w:val="none"/>
        </w:rPr>
        <w:fldChar w:fldCharType="separate"/>
      </w:r>
      <w:r>
        <w:rPr>
          <w:highlight w:val="none"/>
        </w:rPr>
        <w:t>1</w:t>
      </w:r>
      <w:r>
        <w:rPr>
          <w:highlight w:val="none"/>
        </w:rPr>
        <w:fldChar w:fldCharType="end"/>
      </w:r>
      <w:r>
        <w:rPr>
          <w:highlight w:val="none"/>
        </w:rPr>
        <w:fldChar w:fldCharType="end"/>
      </w:r>
    </w:p>
    <w:p>
      <w:pPr>
        <w:pStyle w:val="14"/>
        <w:tabs>
          <w:tab w:val="right" w:leader="dot" w:pos="9298"/>
        </w:tabs>
        <w:rPr>
          <w:highlight w:val="none"/>
        </w:rPr>
      </w:pPr>
      <w:r>
        <w:rPr>
          <w:highlight w:val="none"/>
        </w:rPr>
        <w:fldChar w:fldCharType="begin"/>
      </w:r>
      <w:r>
        <w:rPr>
          <w:highlight w:val="none"/>
        </w:rPr>
        <w:instrText xml:space="preserve"> HYPERLINK \l _Toc13308 </w:instrText>
      </w:r>
      <w:r>
        <w:rPr>
          <w:highlight w:val="none"/>
        </w:rPr>
        <w:fldChar w:fldCharType="separate"/>
      </w:r>
      <w:r>
        <w:rPr>
          <w:bCs/>
          <w:highlight w:val="none"/>
        </w:rPr>
        <w:t>3、 使用条件</w:t>
      </w:r>
      <w:r>
        <w:rPr>
          <w:highlight w:val="none"/>
        </w:rPr>
        <w:tab/>
      </w:r>
      <w:r>
        <w:rPr>
          <w:highlight w:val="none"/>
        </w:rPr>
        <w:fldChar w:fldCharType="begin"/>
      </w:r>
      <w:r>
        <w:rPr>
          <w:highlight w:val="none"/>
        </w:rPr>
        <w:instrText xml:space="preserve"> PAGEREF _Toc13308 \h </w:instrText>
      </w:r>
      <w:r>
        <w:rPr>
          <w:highlight w:val="none"/>
        </w:rPr>
        <w:fldChar w:fldCharType="separate"/>
      </w:r>
      <w:r>
        <w:rPr>
          <w:highlight w:val="none"/>
        </w:rPr>
        <w:t>3</w:t>
      </w:r>
      <w:r>
        <w:rPr>
          <w:highlight w:val="none"/>
        </w:rPr>
        <w:fldChar w:fldCharType="end"/>
      </w:r>
      <w:r>
        <w:rPr>
          <w:highlight w:val="none"/>
        </w:rPr>
        <w:fldChar w:fldCharType="end"/>
      </w:r>
    </w:p>
    <w:p>
      <w:pPr>
        <w:pStyle w:val="14"/>
        <w:tabs>
          <w:tab w:val="right" w:leader="dot" w:pos="9298"/>
        </w:tabs>
        <w:rPr>
          <w:highlight w:val="none"/>
        </w:rPr>
      </w:pPr>
      <w:r>
        <w:rPr>
          <w:highlight w:val="none"/>
        </w:rPr>
        <w:fldChar w:fldCharType="begin"/>
      </w:r>
      <w:r>
        <w:rPr>
          <w:highlight w:val="none"/>
        </w:rPr>
        <w:instrText xml:space="preserve"> HYPERLINK \l _Toc9216 </w:instrText>
      </w:r>
      <w:r>
        <w:rPr>
          <w:highlight w:val="none"/>
        </w:rPr>
        <w:fldChar w:fldCharType="separate"/>
      </w:r>
      <w:r>
        <w:rPr>
          <w:rFonts w:hint="eastAsia"/>
          <w:bCs/>
          <w:highlight w:val="none"/>
        </w:rPr>
        <w:t>4、 技术要求</w:t>
      </w:r>
      <w:r>
        <w:rPr>
          <w:highlight w:val="none"/>
        </w:rPr>
        <w:tab/>
      </w:r>
      <w:r>
        <w:rPr>
          <w:highlight w:val="none"/>
        </w:rPr>
        <w:fldChar w:fldCharType="begin"/>
      </w:r>
      <w:r>
        <w:rPr>
          <w:highlight w:val="none"/>
        </w:rPr>
        <w:instrText xml:space="preserve"> PAGEREF _Toc9216 \h </w:instrText>
      </w:r>
      <w:r>
        <w:rPr>
          <w:highlight w:val="none"/>
        </w:rPr>
        <w:fldChar w:fldCharType="separate"/>
      </w:r>
      <w:r>
        <w:rPr>
          <w:highlight w:val="none"/>
        </w:rPr>
        <w:t>3</w:t>
      </w:r>
      <w:r>
        <w:rPr>
          <w:highlight w:val="none"/>
        </w:rPr>
        <w:fldChar w:fldCharType="end"/>
      </w:r>
      <w:r>
        <w:rPr>
          <w:highlight w:val="none"/>
        </w:rPr>
        <w:fldChar w:fldCharType="end"/>
      </w:r>
    </w:p>
    <w:p>
      <w:pPr>
        <w:pStyle w:val="14"/>
        <w:tabs>
          <w:tab w:val="right" w:leader="dot" w:pos="9298"/>
        </w:tabs>
        <w:rPr>
          <w:highlight w:val="none"/>
        </w:rPr>
      </w:pPr>
      <w:r>
        <w:rPr>
          <w:highlight w:val="none"/>
        </w:rPr>
        <w:fldChar w:fldCharType="begin"/>
      </w:r>
      <w:r>
        <w:rPr>
          <w:highlight w:val="none"/>
        </w:rPr>
        <w:instrText xml:space="preserve"> HYPERLINK \l _Toc23089 </w:instrText>
      </w:r>
      <w:r>
        <w:rPr>
          <w:highlight w:val="none"/>
        </w:rPr>
        <w:fldChar w:fldCharType="separate"/>
      </w:r>
      <w:r>
        <w:rPr>
          <w:rFonts w:hint="eastAsia" w:ascii="Times New Roman" w:hAnsi="Times New Roman" w:cs="Times New Roman"/>
          <w:bCs/>
          <w:highlight w:val="none"/>
          <w:lang w:val="en-US" w:eastAsia="zh-CN"/>
        </w:rPr>
        <w:t>5、 标准技术参数表</w:t>
      </w:r>
      <w:r>
        <w:rPr>
          <w:highlight w:val="none"/>
        </w:rPr>
        <w:tab/>
      </w:r>
      <w:r>
        <w:rPr>
          <w:highlight w:val="none"/>
        </w:rPr>
        <w:fldChar w:fldCharType="begin"/>
      </w:r>
      <w:r>
        <w:rPr>
          <w:highlight w:val="none"/>
        </w:rPr>
        <w:instrText xml:space="preserve"> PAGEREF _Toc23089 \h </w:instrText>
      </w:r>
      <w:r>
        <w:rPr>
          <w:highlight w:val="none"/>
        </w:rPr>
        <w:fldChar w:fldCharType="separate"/>
      </w:r>
      <w:r>
        <w:rPr>
          <w:highlight w:val="none"/>
        </w:rPr>
        <w:t>10</w:t>
      </w:r>
      <w:r>
        <w:rPr>
          <w:highlight w:val="none"/>
        </w:rPr>
        <w:fldChar w:fldCharType="end"/>
      </w:r>
      <w:r>
        <w:rPr>
          <w:highlight w:val="none"/>
        </w:rPr>
        <w:fldChar w:fldCharType="end"/>
      </w:r>
    </w:p>
    <w:p>
      <w:pPr>
        <w:pStyle w:val="14"/>
        <w:tabs>
          <w:tab w:val="right" w:leader="dot" w:pos="9298"/>
        </w:tabs>
        <w:rPr>
          <w:highlight w:val="none"/>
        </w:rPr>
      </w:pPr>
      <w:r>
        <w:rPr>
          <w:highlight w:val="none"/>
        </w:rPr>
        <w:fldChar w:fldCharType="begin"/>
      </w:r>
      <w:r>
        <w:rPr>
          <w:highlight w:val="none"/>
        </w:rPr>
        <w:instrText xml:space="preserve"> HYPERLINK \l _Toc29459 </w:instrText>
      </w:r>
      <w:r>
        <w:rPr>
          <w:highlight w:val="none"/>
        </w:rPr>
        <w:fldChar w:fldCharType="separate"/>
      </w:r>
      <w:r>
        <w:rPr>
          <w:rFonts w:hint="eastAsia" w:ascii="Times New Roman" w:hAnsi="Times New Roman" w:cs="Times New Roman"/>
          <w:bCs/>
          <w:highlight w:val="none"/>
          <w:lang w:val="en-US" w:eastAsia="zh-CN"/>
        </w:rPr>
        <w:t>6、 项目需求部分</w:t>
      </w:r>
      <w:r>
        <w:rPr>
          <w:highlight w:val="none"/>
        </w:rPr>
        <w:tab/>
      </w:r>
      <w:r>
        <w:rPr>
          <w:highlight w:val="none"/>
        </w:rPr>
        <w:fldChar w:fldCharType="begin"/>
      </w:r>
      <w:r>
        <w:rPr>
          <w:highlight w:val="none"/>
        </w:rPr>
        <w:instrText xml:space="preserve"> PAGEREF _Toc29459 \h </w:instrText>
      </w:r>
      <w:r>
        <w:rPr>
          <w:highlight w:val="none"/>
        </w:rPr>
        <w:fldChar w:fldCharType="separate"/>
      </w:r>
      <w:r>
        <w:rPr>
          <w:highlight w:val="none"/>
        </w:rPr>
        <w:t>10</w:t>
      </w:r>
      <w:r>
        <w:rPr>
          <w:highlight w:val="none"/>
        </w:rPr>
        <w:fldChar w:fldCharType="end"/>
      </w:r>
      <w:r>
        <w:rPr>
          <w:highlight w:val="none"/>
        </w:rPr>
        <w:fldChar w:fldCharType="end"/>
      </w:r>
    </w:p>
    <w:p>
      <w:pPr>
        <w:pStyle w:val="14"/>
        <w:tabs>
          <w:tab w:val="right" w:leader="dot" w:pos="9298"/>
        </w:tabs>
        <w:rPr>
          <w:highlight w:val="none"/>
        </w:rPr>
      </w:pPr>
      <w:r>
        <w:rPr>
          <w:highlight w:val="none"/>
        </w:rPr>
        <w:fldChar w:fldCharType="begin"/>
      </w:r>
      <w:r>
        <w:rPr>
          <w:highlight w:val="none"/>
        </w:rPr>
        <w:instrText xml:space="preserve"> HYPERLINK \l _Toc19323 </w:instrText>
      </w:r>
      <w:r>
        <w:rPr>
          <w:highlight w:val="none"/>
        </w:rPr>
        <w:fldChar w:fldCharType="separate"/>
      </w:r>
      <w:r>
        <w:rPr>
          <w:rFonts w:hint="eastAsia" w:ascii="Times New Roman" w:hAnsi="Times New Roman" w:cs="Times New Roman"/>
          <w:bCs/>
          <w:highlight w:val="none"/>
          <w:lang w:val="en-US" w:eastAsia="zh-CN"/>
        </w:rPr>
        <w:t>7、 投标人响应部分</w:t>
      </w:r>
      <w:r>
        <w:rPr>
          <w:highlight w:val="none"/>
        </w:rPr>
        <w:tab/>
      </w:r>
      <w:r>
        <w:rPr>
          <w:highlight w:val="none"/>
        </w:rPr>
        <w:fldChar w:fldCharType="begin"/>
      </w:r>
      <w:r>
        <w:rPr>
          <w:highlight w:val="none"/>
        </w:rPr>
        <w:instrText xml:space="preserve"> PAGEREF _Toc19323 \h </w:instrText>
      </w:r>
      <w:r>
        <w:rPr>
          <w:highlight w:val="none"/>
        </w:rPr>
        <w:fldChar w:fldCharType="separate"/>
      </w:r>
      <w:r>
        <w:rPr>
          <w:highlight w:val="none"/>
        </w:rPr>
        <w:t>12</w:t>
      </w:r>
      <w:r>
        <w:rPr>
          <w:highlight w:val="none"/>
        </w:rPr>
        <w:fldChar w:fldCharType="end"/>
      </w:r>
      <w:r>
        <w:rPr>
          <w:highlight w:val="none"/>
        </w:rPr>
        <w:fldChar w:fldCharType="end"/>
      </w:r>
    </w:p>
    <w:p>
      <w:pPr>
        <w:pStyle w:val="14"/>
        <w:tabs>
          <w:tab w:val="right" w:leader="dot" w:pos="9298"/>
        </w:tabs>
        <w:rPr>
          <w:highlight w:val="none"/>
        </w:rPr>
      </w:pPr>
      <w:r>
        <w:rPr>
          <w:highlight w:val="none"/>
        </w:rPr>
        <w:fldChar w:fldCharType="end"/>
      </w:r>
    </w:p>
    <w:p>
      <w:pPr>
        <w:adjustRightInd w:val="0"/>
        <w:snapToGrid w:val="0"/>
        <w:spacing w:line="480" w:lineRule="exact"/>
        <w:textAlignment w:val="baseline"/>
        <w:outlineLvl w:val="9"/>
        <w:rPr>
          <w:color w:val="auto"/>
          <w:kern w:val="0"/>
          <w:sz w:val="24"/>
          <w:highlight w:val="none"/>
        </w:rPr>
        <w:sectPr>
          <w:pgSz w:w="11906" w:h="16838"/>
          <w:pgMar w:top="1701" w:right="1304" w:bottom="1418" w:left="1304" w:header="851" w:footer="992" w:gutter="0"/>
          <w:pgNumType w:start="0"/>
          <w:cols w:space="720" w:num="1"/>
          <w:docGrid w:linePitch="312" w:charSpace="0"/>
        </w:sectPr>
      </w:pPr>
    </w:p>
    <w:p>
      <w:pPr>
        <w:pStyle w:val="5"/>
        <w:keepNext/>
        <w:keepLines w:val="0"/>
        <w:pageBreakBefore w:val="0"/>
        <w:widowControl/>
        <w:numPr>
          <w:ilvl w:val="0"/>
          <w:numId w:val="2"/>
        </w:numPr>
        <w:kinsoku/>
        <w:wordWrap/>
        <w:overflowPunct w:val="0"/>
        <w:topLinePunct w:val="0"/>
        <w:autoSpaceDE w:val="0"/>
        <w:autoSpaceDN w:val="0"/>
        <w:bidi w:val="0"/>
        <w:adjustRightInd w:val="0"/>
        <w:snapToGrid/>
        <w:ind w:left="0" w:leftChars="0" w:firstLine="422" w:firstLineChars="200"/>
        <w:textAlignment w:val="baseline"/>
        <w:outlineLvl w:val="0"/>
        <w:rPr>
          <w:b/>
          <w:bCs/>
          <w:color w:val="auto"/>
          <w:highlight w:val="none"/>
        </w:rPr>
      </w:pPr>
      <w:bookmarkStart w:id="9" w:name="_Toc8210"/>
      <w:bookmarkStart w:id="10" w:name="_Toc22593"/>
      <w:bookmarkStart w:id="11" w:name="_Toc132037106"/>
      <w:bookmarkStart w:id="12" w:name="_Toc27188"/>
      <w:bookmarkStart w:id="13" w:name="_Toc4020"/>
      <w:r>
        <w:rPr>
          <w:b/>
          <w:bCs/>
          <w:color w:val="auto"/>
          <w:highlight w:val="none"/>
        </w:rPr>
        <w:t>总则</w:t>
      </w:r>
      <w:bookmarkEnd w:id="9"/>
      <w:bookmarkEnd w:id="10"/>
      <w:bookmarkEnd w:id="11"/>
      <w:bookmarkEnd w:id="12"/>
      <w:bookmarkEnd w:id="13"/>
    </w:p>
    <w:p>
      <w:pPr>
        <w:adjustRightInd w:val="0"/>
        <w:snapToGrid w:val="0"/>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  本招标技术文件适用于变电站新建或</w:t>
      </w:r>
      <w:r>
        <w:rPr>
          <w:rFonts w:hint="eastAsia" w:ascii="宋体" w:hAnsi="宋体" w:eastAsia="宋体" w:cs="宋体"/>
          <w:color w:val="auto"/>
          <w:sz w:val="24"/>
          <w:highlight w:val="none"/>
          <w:lang w:val="en-US" w:eastAsia="zh-CN"/>
        </w:rPr>
        <w:t>改扩建隔离开关位置</w:t>
      </w:r>
      <w:r>
        <w:rPr>
          <w:rFonts w:hint="eastAsia" w:ascii="宋体" w:hAnsi="宋体" w:eastAsia="宋体" w:cs="宋体"/>
          <w:color w:val="auto"/>
          <w:sz w:val="24"/>
          <w:highlight w:val="none"/>
        </w:rPr>
        <w:t>“双确认”</w:t>
      </w:r>
      <w:r>
        <w:rPr>
          <w:rFonts w:hint="eastAsia" w:ascii="宋体" w:hAnsi="宋体" w:eastAsia="宋体" w:cs="宋体"/>
          <w:color w:val="auto"/>
          <w:sz w:val="24"/>
          <w:highlight w:val="none"/>
          <w:lang w:eastAsia="zh-CN"/>
        </w:rPr>
        <w:t>磁感应装置</w:t>
      </w:r>
      <w:r>
        <w:rPr>
          <w:rFonts w:hint="eastAsia" w:ascii="宋体" w:hAnsi="宋体" w:eastAsia="宋体" w:cs="宋体"/>
          <w:color w:val="auto"/>
          <w:sz w:val="24"/>
          <w:highlight w:val="none"/>
        </w:rPr>
        <w:t>的功能设计、结构、性能、安装和试验等方面的技术要求。</w:t>
      </w:r>
    </w:p>
    <w:p>
      <w:pPr>
        <w:adjustRightInd w:val="0"/>
        <w:snapToGrid w:val="0"/>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  本招标技术文件提出的是最低限度的技术要求,并未对一切技术细节作出规定,也未充分引述有关标准和规范的条文,投标方应提供符合本招标技术文件和工业标准的优质产品。</w:t>
      </w:r>
    </w:p>
    <w:p>
      <w:pPr>
        <w:adjustRightInd w:val="0"/>
        <w:snapToGrid w:val="0"/>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  如果投标方没有以书面形式对本招标技术文件的条文提出异议,则意味着投标方提供的设备(或系统)完全符合本招标技术文件的要求。如有异议,不管是多么微小,都应在报价书中以“对招标技术文件的意见和同招标技术文件的差异”为标题的专门章节中加以详细描述。</w:t>
      </w:r>
    </w:p>
    <w:p>
      <w:pPr>
        <w:adjustRightInd w:val="0"/>
        <w:snapToGrid w:val="0"/>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  本招标技术文件所使用的标准如遇与投标方所执行的标准不一致时,按较高标准执行。</w:t>
      </w:r>
    </w:p>
    <w:p>
      <w:pPr>
        <w:adjustRightInd w:val="0"/>
        <w:snapToGrid w:val="0"/>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  本招标技术文件经买、卖双方确认后作为订货合同的技术附件，与合同正文具有同等法律效力。</w:t>
      </w:r>
    </w:p>
    <w:p>
      <w:pPr>
        <w:adjustRightInd w:val="0"/>
        <w:snapToGrid w:val="0"/>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  投标方在应标技术文件中应如实反映应标产品与本招标技术文件的技术差异。如果投标方没有提出技术差异，而在执行合同的过程中，招标方发现投标方提供的产品与其应标技术文件的条文存在差异，招标方有权利要求退货，并将对下一年度的评标工作有不同程度的影响。</w:t>
      </w:r>
    </w:p>
    <w:p>
      <w:pPr>
        <w:adjustRightInd w:val="0"/>
        <w:snapToGrid w:val="0"/>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  投标方应在应标技术部分按本招标技术文件的要求如实详细的填写应标设备的标准配置表，并在应标商务部分按此标准配置进行报价，如发现二者有矛盾之处，将对评标工作有不同程度的影响。</w:t>
      </w:r>
    </w:p>
    <w:p>
      <w:pPr>
        <w:adjustRightInd w:val="0"/>
        <w:snapToGrid w:val="0"/>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1.8  投标方应充分理解本招标技术文件并按本招标技术文件的具体条款、格式要求填写应标的技术文件，如发现应标的技术文件条款、格式不符合本招标技术文件的要求，则认为应标不严肃，在评标时将有不同程度的扣分。</w:t>
      </w:r>
    </w:p>
    <w:p>
      <w:pPr>
        <w:adjustRightInd w:val="0"/>
        <w:snapToGrid w:val="0"/>
        <w:spacing w:line="480" w:lineRule="exact"/>
        <w:ind w:firstLine="480" w:firstLineChars="200"/>
        <w:rPr>
          <w:rFonts w:hint="eastAsia" w:ascii="宋体" w:hAnsi="宋体" w:eastAsia="宋体" w:cs="宋体"/>
          <w:color w:val="auto"/>
          <w:sz w:val="24"/>
          <w:highlight w:val="none"/>
        </w:rPr>
      </w:pPr>
      <w:bookmarkStart w:id="14" w:name="_Toc9644"/>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 xml:space="preserve">  本招标技术文件未尽事宜,由买卖双方协商确定。</w:t>
      </w:r>
      <w:bookmarkEnd w:id="14"/>
    </w:p>
    <w:p>
      <w:pPr>
        <w:pStyle w:val="5"/>
        <w:keepNext/>
        <w:keepLines w:val="0"/>
        <w:pageBreakBefore w:val="0"/>
        <w:widowControl/>
        <w:numPr>
          <w:ilvl w:val="0"/>
          <w:numId w:val="2"/>
        </w:numPr>
        <w:kinsoku/>
        <w:wordWrap/>
        <w:overflowPunct w:val="0"/>
        <w:topLinePunct w:val="0"/>
        <w:autoSpaceDE w:val="0"/>
        <w:autoSpaceDN w:val="0"/>
        <w:bidi w:val="0"/>
        <w:adjustRightInd w:val="0"/>
        <w:snapToGrid/>
        <w:ind w:left="0" w:leftChars="0" w:firstLine="422" w:firstLineChars="200"/>
        <w:textAlignment w:val="baseline"/>
        <w:outlineLvl w:val="0"/>
        <w:rPr>
          <w:rFonts w:ascii="Times New Roman" w:hAnsi="Times New Roman" w:cs="Times New Roman"/>
          <w:b/>
          <w:bCs/>
          <w:color w:val="auto"/>
          <w:highlight w:val="none"/>
        </w:rPr>
      </w:pPr>
      <w:bookmarkStart w:id="15" w:name="_Toc11042"/>
      <w:bookmarkStart w:id="16" w:name="_Toc7988"/>
      <w:bookmarkStart w:id="17" w:name="_Toc20848"/>
      <w:bookmarkStart w:id="18" w:name="_Toc32620"/>
      <w:bookmarkStart w:id="19" w:name="_Toc132037109"/>
      <w:bookmarkStart w:id="20" w:name="_Toc132037108"/>
      <w:bookmarkStart w:id="21" w:name="_Toc75589595"/>
      <w:bookmarkStart w:id="22" w:name="_Toc5508683"/>
      <w:bookmarkStart w:id="23" w:name="_Toc5508413"/>
      <w:bookmarkStart w:id="24" w:name="_Toc187218694"/>
      <w:r>
        <w:rPr>
          <w:rFonts w:ascii="Times New Roman" w:hAnsi="Times New Roman" w:cs="Times New Roman"/>
          <w:b/>
          <w:bCs/>
          <w:color w:val="auto"/>
          <w:highlight w:val="none"/>
        </w:rPr>
        <w:t>应遵循的主要标准</w:t>
      </w:r>
      <w:bookmarkEnd w:id="15"/>
      <w:bookmarkEnd w:id="16"/>
      <w:bookmarkEnd w:id="17"/>
      <w:bookmarkEnd w:id="18"/>
      <w:bookmarkEnd w:id="19"/>
    </w:p>
    <w:p>
      <w:pPr>
        <w:tabs>
          <w:tab w:val="left" w:pos="1440"/>
          <w:tab w:val="left" w:pos="3960"/>
        </w:tabs>
        <w:adjustRightInd w:val="0"/>
        <w:snapToGrid w:val="0"/>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下列标准所包含的条文,通过在本招标技术文件中引用而构成本招标技术文件的基本条文。在本招标技术文件出版时,所示版本均为有效。所有标准都会被修订,使用本招标技术文件的各方应探讨使用下列标准最新版本的可能性。按标准号顺序排列标准，如果各标准要求有所不同，满足更高的标准要求。</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191  包装储运图示标志</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1985  高压交流</w:t>
      </w:r>
      <w:r>
        <w:rPr>
          <w:rFonts w:hint="eastAsia" w:ascii="宋体" w:hAnsi="宋体" w:eastAsia="宋体" w:cs="宋体"/>
          <w:color w:val="auto"/>
          <w:sz w:val="24"/>
          <w:szCs w:val="24"/>
          <w:highlight w:val="none"/>
          <w:lang w:eastAsia="zh-CN"/>
        </w:rPr>
        <w:t>开关设备</w:t>
      </w:r>
      <w:r>
        <w:rPr>
          <w:rFonts w:hint="eastAsia" w:ascii="宋体" w:hAnsi="宋体" w:eastAsia="宋体" w:cs="宋体"/>
          <w:color w:val="auto"/>
          <w:sz w:val="24"/>
          <w:szCs w:val="24"/>
          <w:highlight w:val="none"/>
        </w:rPr>
        <w:t>和接地开关</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2423  电工电子产品环境试验</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4208  外壳防护等级(IP代码)</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7261—2016  继电保护和安全自动装置基本试验方法</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11022  高压开关设备和控制设备标准的共用技术要求</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11287  电气继电器 第21部分：量度继电器和保护装置的振动、冲击、碰撞和地震试验 第1篇：振动试验(正弦)</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14048.3  低压开关设备和控制设备 第3部分：开关、隔离器、</w:t>
      </w:r>
      <w:r>
        <w:rPr>
          <w:rFonts w:hint="eastAsia" w:ascii="宋体" w:hAnsi="宋体" w:eastAsia="宋体" w:cs="宋体"/>
          <w:color w:val="auto"/>
          <w:sz w:val="24"/>
          <w:szCs w:val="24"/>
          <w:highlight w:val="none"/>
          <w:lang w:eastAsia="zh-CN"/>
        </w:rPr>
        <w:t>开关设备</w:t>
      </w:r>
      <w:r>
        <w:rPr>
          <w:rFonts w:hint="eastAsia" w:ascii="宋体" w:hAnsi="宋体" w:eastAsia="宋体" w:cs="宋体"/>
          <w:color w:val="auto"/>
          <w:sz w:val="24"/>
          <w:szCs w:val="24"/>
          <w:highlight w:val="none"/>
        </w:rPr>
        <w:t>及熔断器组合电器</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14537  量度继电器和保护装置的冲击与碰撞试验</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17626.2-2018  电磁兼容 试验和测量技术 静电放电抗扰度试验</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17626.3-2016  电磁兼容 试验和测量技术 射频电磁场辐射抗扰度试验</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17626.4-2018  电磁兼容 试验和测量技术 电快速瞬变脉冲群抗扰度检验</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17626.5-2019  电磁兼容 试验和测量技术 浪涌（冲击）抗扰度试验</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17626.6-2017  电磁兼容 试验和测量技术 射频场感应的传导骚扰抗扰度</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17626.8-2006  电磁兼容 试验和测量技术 工频磁场抗扰度试验</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17626.9-2011  电磁兼容 试验和测量技术 脉冲磁场抗扰度试验</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17626.10-2017  电磁兼容 试验和测量技术 阻尼振荡磁场抗扰度检验</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17626.11-2008  电磁兼容 试验和测量技术 电压暂降、短时中断和电压变化的抗扰度试验</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DL/T 486  高压交流</w:t>
      </w:r>
      <w:r>
        <w:rPr>
          <w:rFonts w:hint="eastAsia" w:ascii="宋体" w:hAnsi="宋体" w:eastAsia="宋体" w:cs="宋体"/>
          <w:color w:val="auto"/>
          <w:sz w:val="24"/>
          <w:szCs w:val="24"/>
          <w:highlight w:val="none"/>
          <w:lang w:eastAsia="zh-CN"/>
        </w:rPr>
        <w:t>开关设备</w:t>
      </w:r>
      <w:r>
        <w:rPr>
          <w:rFonts w:hint="eastAsia" w:ascii="宋体" w:hAnsi="宋体" w:eastAsia="宋体" w:cs="宋体"/>
          <w:color w:val="auto"/>
          <w:sz w:val="24"/>
          <w:szCs w:val="24"/>
          <w:highlight w:val="none"/>
        </w:rPr>
        <w:t>和接地开关</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DL/T 593  高压开关设备和控制设备标准的共用技术要求</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DL/T 860  变电站通信网络和系统</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2887  计算机场地通用规范</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SJ 51930.1-1997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GAG-12型小型干簧管详细规范</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JB/T 9473 -2020  霍尔元件通用技术条件</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3217-2013  永磁(硬磁)材料 磁性试验方法</w:t>
      </w:r>
    </w:p>
    <w:p>
      <w:pPr>
        <w:pStyle w:val="4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DL/T 1403   智能变电站监控系统技术规范</w:t>
      </w:r>
    </w:p>
    <w:p>
      <w:pPr>
        <w:pStyle w:val="5"/>
        <w:keepNext/>
        <w:keepLines w:val="0"/>
        <w:pageBreakBefore w:val="0"/>
        <w:widowControl/>
        <w:numPr>
          <w:ilvl w:val="0"/>
          <w:numId w:val="2"/>
        </w:numPr>
        <w:kinsoku/>
        <w:wordWrap/>
        <w:overflowPunct w:val="0"/>
        <w:topLinePunct w:val="0"/>
        <w:autoSpaceDE w:val="0"/>
        <w:autoSpaceDN w:val="0"/>
        <w:bidi w:val="0"/>
        <w:adjustRightInd w:val="0"/>
        <w:snapToGrid/>
        <w:ind w:left="0" w:leftChars="0" w:firstLine="422" w:firstLineChars="200"/>
        <w:textAlignment w:val="baseline"/>
        <w:outlineLvl w:val="0"/>
        <w:rPr>
          <w:rFonts w:ascii="Times New Roman" w:hAnsi="Times New Roman" w:cs="Times New Roman"/>
          <w:b/>
          <w:bCs/>
          <w:color w:val="auto"/>
          <w:highlight w:val="none"/>
        </w:rPr>
      </w:pPr>
      <w:bookmarkStart w:id="25" w:name="_Toc14504"/>
      <w:bookmarkStart w:id="26" w:name="_Toc22864"/>
      <w:bookmarkStart w:id="27" w:name="_Toc18846"/>
      <w:bookmarkStart w:id="28" w:name="_Toc13308"/>
      <w:r>
        <w:rPr>
          <w:rFonts w:ascii="Times New Roman" w:hAnsi="Times New Roman" w:cs="Times New Roman"/>
          <w:b/>
          <w:bCs/>
          <w:color w:val="auto"/>
          <w:highlight w:val="none"/>
        </w:rPr>
        <w:t>使用条件</w:t>
      </w:r>
      <w:bookmarkEnd w:id="20"/>
      <w:bookmarkEnd w:id="25"/>
      <w:bookmarkEnd w:id="26"/>
      <w:bookmarkEnd w:id="27"/>
      <w:bookmarkEnd w:id="28"/>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ind w:leftChars="0" w:firstLine="480" w:firstLineChars="200"/>
        <w:textAlignment w:val="auto"/>
        <w:outlineLvl w:val="1"/>
        <w:rPr>
          <w:rFonts w:hint="eastAsia" w:ascii="宋体" w:hAnsi="宋体" w:eastAsia="宋体" w:cs="宋体"/>
          <w:color w:val="auto"/>
          <w:sz w:val="24"/>
          <w:szCs w:val="24"/>
          <w:highlight w:val="none"/>
        </w:rPr>
      </w:pPr>
      <w:bookmarkStart w:id="29" w:name="_Toc30418"/>
      <w:bookmarkStart w:id="30" w:name="_Toc10852"/>
      <w:bookmarkStart w:id="31" w:name="_Toc7380"/>
      <w:r>
        <w:rPr>
          <w:rFonts w:hint="eastAsia" w:ascii="宋体" w:hAnsi="宋体" w:eastAsia="宋体" w:cs="宋体"/>
          <w:color w:val="auto"/>
          <w:sz w:val="24"/>
          <w:szCs w:val="24"/>
          <w:highlight w:val="none"/>
          <w:lang w:val="en-US" w:eastAsia="zh-CN"/>
        </w:rPr>
        <w:t xml:space="preserve">3.1 </w:t>
      </w:r>
      <w:r>
        <w:rPr>
          <w:rFonts w:hint="eastAsia" w:ascii="宋体" w:hAnsi="宋体" w:eastAsia="宋体" w:cs="宋体"/>
          <w:color w:val="auto"/>
          <w:sz w:val="24"/>
          <w:szCs w:val="24"/>
          <w:highlight w:val="none"/>
        </w:rPr>
        <w:t>正常使用条件</w:t>
      </w:r>
      <w:bookmarkEnd w:id="29"/>
      <w:bookmarkEnd w:id="30"/>
      <w:bookmarkEnd w:id="31"/>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(1)工作温度：</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0℃；</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(2)相对湿度：5%RH～95%RH；</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(3)大气压力：</w:t>
      </w:r>
      <w:r>
        <w:rPr>
          <w:rFonts w:hint="eastAsia" w:ascii="宋体" w:hAnsi="宋体" w:eastAsia="宋体" w:cs="宋体"/>
          <w:color w:val="auto"/>
          <w:sz w:val="24"/>
          <w:szCs w:val="24"/>
          <w:highlight w:val="none"/>
          <w:lang w:val="en-US" w:eastAsia="zh-CN"/>
        </w:rPr>
        <w:t>80k</w:t>
      </w:r>
      <w:r>
        <w:rPr>
          <w:rFonts w:hint="eastAsia" w:ascii="宋体" w:hAnsi="宋体" w:eastAsia="宋体" w:cs="宋体"/>
          <w:color w:val="auto"/>
          <w:sz w:val="24"/>
          <w:szCs w:val="24"/>
          <w:highlight w:val="none"/>
        </w:rPr>
        <w:t>Pa～</w:t>
      </w:r>
      <w:r>
        <w:rPr>
          <w:rFonts w:hint="eastAsia" w:ascii="宋体" w:hAnsi="宋体" w:eastAsia="宋体" w:cs="宋体"/>
          <w:color w:val="auto"/>
          <w:sz w:val="24"/>
          <w:szCs w:val="24"/>
          <w:highlight w:val="none"/>
          <w:lang w:val="en-US" w:eastAsia="zh-CN"/>
        </w:rPr>
        <w:t>110k</w:t>
      </w:r>
      <w:r>
        <w:rPr>
          <w:rFonts w:hint="eastAsia" w:ascii="宋体" w:hAnsi="宋体" w:eastAsia="宋体" w:cs="宋体"/>
          <w:color w:val="auto"/>
          <w:sz w:val="24"/>
          <w:szCs w:val="24"/>
          <w:highlight w:val="none"/>
        </w:rPr>
        <w:t>Pa；</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(4)海拔高度：≤3000m。</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ind w:leftChars="0" w:firstLine="480" w:firstLineChars="200"/>
        <w:textAlignment w:val="auto"/>
        <w:outlineLvl w:val="1"/>
        <w:rPr>
          <w:rFonts w:hint="eastAsia" w:ascii="宋体" w:hAnsi="宋体" w:eastAsia="宋体" w:cs="宋体"/>
          <w:color w:val="auto"/>
          <w:sz w:val="24"/>
          <w:szCs w:val="24"/>
          <w:highlight w:val="none"/>
        </w:rPr>
      </w:pPr>
      <w:bookmarkStart w:id="32" w:name="_Toc4329"/>
      <w:bookmarkStart w:id="33" w:name="_Toc24717"/>
      <w:bookmarkStart w:id="34" w:name="_Toc9370"/>
      <w:r>
        <w:rPr>
          <w:rFonts w:hint="eastAsia" w:ascii="宋体" w:hAnsi="宋体" w:eastAsia="宋体" w:cs="宋体"/>
          <w:color w:val="auto"/>
          <w:sz w:val="24"/>
          <w:szCs w:val="24"/>
          <w:highlight w:val="none"/>
          <w:lang w:val="en-US" w:eastAsia="zh-CN"/>
        </w:rPr>
        <w:t xml:space="preserve">3.2 </w:t>
      </w:r>
      <w:r>
        <w:rPr>
          <w:rFonts w:hint="eastAsia" w:ascii="宋体" w:hAnsi="宋体" w:eastAsia="宋体" w:cs="宋体"/>
          <w:color w:val="auto"/>
          <w:sz w:val="24"/>
          <w:szCs w:val="24"/>
          <w:highlight w:val="none"/>
        </w:rPr>
        <w:t>特殊使用条件</w:t>
      </w:r>
      <w:bookmarkEnd w:id="32"/>
      <w:bookmarkEnd w:id="33"/>
      <w:bookmarkEnd w:id="34"/>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当超出上述</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.1规定的正常使用条件时，由用户与供应商协商确定。</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ind w:leftChars="0" w:firstLine="480" w:firstLineChars="200"/>
        <w:textAlignment w:val="auto"/>
        <w:outlineLvl w:val="1"/>
        <w:rPr>
          <w:rFonts w:hint="eastAsia" w:ascii="宋体" w:hAnsi="宋体" w:eastAsia="宋体" w:cs="宋体"/>
          <w:color w:val="auto"/>
          <w:sz w:val="24"/>
          <w:szCs w:val="24"/>
          <w:highlight w:val="none"/>
        </w:rPr>
      </w:pPr>
      <w:bookmarkStart w:id="35" w:name="_Toc7035"/>
      <w:bookmarkStart w:id="36" w:name="_Toc19335"/>
      <w:bookmarkStart w:id="37" w:name="_Toc27300"/>
      <w:r>
        <w:rPr>
          <w:rFonts w:hint="eastAsia" w:ascii="宋体" w:hAnsi="宋体" w:eastAsia="宋体" w:cs="宋体"/>
          <w:color w:val="auto"/>
          <w:sz w:val="24"/>
          <w:szCs w:val="24"/>
          <w:highlight w:val="none"/>
          <w:lang w:val="en-US" w:eastAsia="zh-CN"/>
        </w:rPr>
        <w:t xml:space="preserve">3.3 </w:t>
      </w:r>
      <w:r>
        <w:rPr>
          <w:rFonts w:hint="eastAsia" w:ascii="宋体" w:hAnsi="宋体" w:eastAsia="宋体" w:cs="宋体"/>
          <w:color w:val="auto"/>
          <w:sz w:val="24"/>
          <w:szCs w:val="24"/>
          <w:highlight w:val="none"/>
        </w:rPr>
        <w:t>贮存、运输极限环境温度</w:t>
      </w:r>
      <w:bookmarkEnd w:id="35"/>
      <w:bookmarkEnd w:id="36"/>
      <w:bookmarkEnd w:id="37"/>
      <w:r>
        <w:rPr>
          <w:rFonts w:hint="eastAsia" w:ascii="宋体" w:hAnsi="宋体" w:eastAsia="宋体" w:cs="宋体"/>
          <w:color w:val="auto"/>
          <w:sz w:val="24"/>
          <w:szCs w:val="24"/>
          <w:highlight w:val="non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设备的贮存、运输极限的环境温度为-40℃～+80℃，不应出现异常情况。温度恢复正常后，设备的性能应符合</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的规定。</w:t>
      </w:r>
    </w:p>
    <w:bookmarkEnd w:id="21"/>
    <w:bookmarkEnd w:id="22"/>
    <w:bookmarkEnd w:id="23"/>
    <w:bookmarkEnd w:id="24"/>
    <w:p>
      <w:pPr>
        <w:pStyle w:val="5"/>
        <w:keepNext/>
        <w:keepLines w:val="0"/>
        <w:pageBreakBefore w:val="0"/>
        <w:widowControl/>
        <w:numPr>
          <w:ilvl w:val="0"/>
          <w:numId w:val="2"/>
        </w:numPr>
        <w:kinsoku/>
        <w:wordWrap/>
        <w:overflowPunct w:val="0"/>
        <w:topLinePunct w:val="0"/>
        <w:autoSpaceDE w:val="0"/>
        <w:autoSpaceDN w:val="0"/>
        <w:bidi w:val="0"/>
        <w:adjustRightInd w:val="0"/>
        <w:snapToGrid/>
        <w:ind w:left="0" w:leftChars="0" w:firstLine="422" w:firstLineChars="200"/>
        <w:textAlignment w:val="baseline"/>
        <w:outlineLvl w:val="0"/>
        <w:rPr>
          <w:rFonts w:hint="eastAsia" w:ascii="Times New Roman" w:hAnsi="Times New Roman" w:cs="Times New Roman"/>
          <w:b/>
          <w:bCs/>
          <w:color w:val="auto"/>
          <w:highlight w:val="none"/>
        </w:rPr>
      </w:pPr>
      <w:bookmarkStart w:id="38" w:name="_Toc20916"/>
      <w:bookmarkStart w:id="39" w:name="_Toc132037110"/>
      <w:bookmarkStart w:id="40" w:name="_Toc9216"/>
      <w:bookmarkStart w:id="41" w:name="_Toc30567"/>
      <w:bookmarkStart w:id="42" w:name="_Toc1369"/>
      <w:r>
        <w:rPr>
          <w:rFonts w:hint="eastAsia" w:ascii="Times New Roman" w:hAnsi="Times New Roman" w:cs="Times New Roman"/>
          <w:b/>
          <w:bCs/>
          <w:color w:val="auto"/>
          <w:highlight w:val="none"/>
        </w:rPr>
        <w:t>技术要求</w:t>
      </w:r>
      <w:bookmarkEnd w:id="38"/>
      <w:bookmarkEnd w:id="39"/>
      <w:bookmarkEnd w:id="40"/>
      <w:bookmarkEnd w:id="41"/>
      <w:bookmarkEnd w:id="42"/>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ind w:leftChars="0" w:firstLine="480" w:firstLineChars="200"/>
        <w:textAlignment w:val="auto"/>
        <w:outlineLvl w:val="1"/>
        <w:rPr>
          <w:rFonts w:hint="eastAsia" w:ascii="宋体" w:hAnsi="宋体" w:eastAsia="宋体" w:cs="宋体"/>
          <w:color w:val="auto"/>
          <w:sz w:val="24"/>
          <w:szCs w:val="24"/>
          <w:highlight w:val="none"/>
          <w:lang w:val="en-US" w:eastAsia="zh-CN"/>
        </w:rPr>
      </w:pPr>
      <w:bookmarkStart w:id="43" w:name="_Toc268531684"/>
      <w:bookmarkStart w:id="44" w:name="_Toc20499"/>
      <w:bookmarkStart w:id="45" w:name="_Toc26615"/>
      <w:bookmarkStart w:id="46" w:name="_Toc11120"/>
      <w:r>
        <w:rPr>
          <w:rFonts w:hint="eastAsia" w:ascii="宋体" w:hAnsi="宋体" w:eastAsia="宋体" w:cs="宋体"/>
          <w:color w:val="auto"/>
          <w:sz w:val="24"/>
          <w:szCs w:val="24"/>
          <w:highlight w:val="none"/>
          <w:lang w:val="en-US" w:eastAsia="zh-CN"/>
        </w:rPr>
        <w:t>4.1  结构及外观要求</w:t>
      </w:r>
      <w:bookmarkEnd w:id="43"/>
      <w:bookmarkEnd w:id="44"/>
      <w:bookmarkEnd w:id="45"/>
      <w:bookmarkEnd w:id="46"/>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的金属结构件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支架、扎带、螺丝等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应有防锈措施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应采用304不锈钢及以上标号的不锈钢制作</w:t>
      </w:r>
      <w:r>
        <w:rPr>
          <w:rFonts w:hint="eastAsia" w:ascii="宋体" w:hAnsi="宋体" w:eastAsia="宋体" w:cs="宋体"/>
          <w:color w:val="auto"/>
          <w:sz w:val="24"/>
          <w:szCs w:val="24"/>
          <w:highlight w:val="none"/>
        </w:rPr>
        <w:t>；其正面不能有脱漆和划痕；固定螺钉应平整，不歪斜；机箱上丝印应清晰正确。</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ind w:leftChars="0" w:firstLine="480" w:firstLineChars="200"/>
        <w:textAlignment w:val="auto"/>
        <w:outlineLvl w:val="1"/>
        <w:rPr>
          <w:rFonts w:hint="eastAsia" w:ascii="宋体" w:hAnsi="宋体" w:eastAsia="宋体" w:cs="宋体"/>
          <w:color w:val="auto"/>
          <w:sz w:val="24"/>
          <w:szCs w:val="24"/>
          <w:highlight w:val="none"/>
          <w:lang w:val="en-US" w:eastAsia="zh-CN"/>
        </w:rPr>
      </w:pPr>
      <w:bookmarkStart w:id="47" w:name="_Toc3584"/>
      <w:bookmarkStart w:id="48" w:name="_Toc550"/>
      <w:bookmarkStart w:id="49" w:name="_Toc10587"/>
      <w:r>
        <w:rPr>
          <w:rFonts w:hint="eastAsia" w:ascii="宋体" w:hAnsi="宋体" w:eastAsia="宋体" w:cs="宋体"/>
          <w:color w:val="auto"/>
          <w:sz w:val="24"/>
          <w:szCs w:val="24"/>
          <w:highlight w:val="none"/>
          <w:lang w:val="en-US" w:eastAsia="zh-CN"/>
        </w:rPr>
        <w:t>4.2  防护性能要求</w:t>
      </w:r>
      <w:bookmarkEnd w:id="47"/>
      <w:bookmarkEnd w:id="48"/>
      <w:bookmarkEnd w:id="49"/>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(1)安装在户外时，</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防护等级不低于IP</w:t>
      </w:r>
      <w:r>
        <w:rPr>
          <w:rFonts w:hint="eastAsia" w:ascii="宋体" w:hAnsi="宋体" w:eastAsia="宋体" w:cs="宋体"/>
          <w:color w:val="auto"/>
          <w:sz w:val="24"/>
          <w:szCs w:val="24"/>
          <w:highlight w:val="none"/>
          <w:lang w:val="en-US" w:eastAsia="zh-CN"/>
        </w:rPr>
        <w:t>67</w:t>
      </w:r>
      <w:r>
        <w:rPr>
          <w:rFonts w:hint="eastAsia" w:ascii="宋体" w:hAnsi="宋体" w:eastAsia="宋体" w:cs="宋体"/>
          <w:color w:val="auto"/>
          <w:sz w:val="24"/>
          <w:szCs w:val="24"/>
          <w:highlight w:val="none"/>
        </w:rPr>
        <w:t>，并具备户外运行所需的防护结构；非暴露安装的信号接收装置，防护等级不低于IP</w:t>
      </w:r>
      <w:r>
        <w:rPr>
          <w:rFonts w:hint="eastAsia" w:ascii="宋体" w:hAnsi="宋体" w:eastAsia="宋体" w:cs="宋体"/>
          <w:color w:val="auto"/>
          <w:sz w:val="24"/>
          <w:szCs w:val="24"/>
          <w:highlight w:val="none"/>
          <w:lang w:val="en-US" w:eastAsia="zh-CN"/>
        </w:rPr>
        <w:t>41</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(2)安装在户内时，</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防护等级不低于IP</w:t>
      </w:r>
      <w:r>
        <w:rPr>
          <w:rFonts w:hint="eastAsia" w:ascii="宋体" w:hAnsi="宋体" w:eastAsia="宋体" w:cs="宋体"/>
          <w:color w:val="auto"/>
          <w:sz w:val="24"/>
          <w:szCs w:val="24"/>
          <w:highlight w:val="none"/>
          <w:lang w:val="en-US" w:eastAsia="zh-CN"/>
        </w:rPr>
        <w:t>41</w:t>
      </w:r>
      <w:r>
        <w:rPr>
          <w:rFonts w:hint="eastAsia" w:ascii="宋体" w:hAnsi="宋体" w:eastAsia="宋体" w:cs="宋体"/>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ind w:leftChars="0" w:firstLine="480" w:firstLineChars="200"/>
        <w:textAlignment w:val="auto"/>
        <w:outlineLvl w:val="1"/>
        <w:rPr>
          <w:rFonts w:hint="eastAsia" w:ascii="宋体" w:hAnsi="宋体" w:eastAsia="宋体" w:cs="宋体"/>
          <w:color w:val="auto"/>
          <w:sz w:val="24"/>
          <w:szCs w:val="24"/>
          <w:highlight w:val="none"/>
          <w:lang w:val="en-US" w:eastAsia="zh-CN"/>
        </w:rPr>
      </w:pPr>
      <w:bookmarkStart w:id="50" w:name="_Toc9620"/>
      <w:bookmarkStart w:id="51" w:name="_Toc26770"/>
      <w:bookmarkStart w:id="52" w:name="_Toc13741"/>
      <w:r>
        <w:rPr>
          <w:rFonts w:hint="eastAsia" w:ascii="宋体" w:hAnsi="宋体" w:eastAsia="宋体" w:cs="宋体"/>
          <w:color w:val="auto"/>
          <w:sz w:val="24"/>
          <w:szCs w:val="24"/>
          <w:highlight w:val="none"/>
          <w:lang w:val="en-US" w:eastAsia="zh-CN"/>
        </w:rPr>
        <w:t>4.3  基本功能要求</w:t>
      </w:r>
      <w:bookmarkEnd w:id="50"/>
      <w:bookmarkEnd w:id="51"/>
      <w:bookmarkEnd w:id="52"/>
    </w:p>
    <w:p>
      <w:pPr>
        <w:spacing w:line="360" w:lineRule="auto"/>
        <w:ind w:firstLine="480" w:firstLineChars="200"/>
        <w:rPr>
          <w:rFonts w:ascii="宋体"/>
          <w:color w:val="auto"/>
          <w:kern w:val="0"/>
          <w:sz w:val="24"/>
          <w:szCs w:val="24"/>
          <w:highlight w:val="none"/>
        </w:rPr>
      </w:pPr>
      <w:r>
        <w:rPr>
          <w:rFonts w:hint="eastAsia" w:ascii="宋体" w:hAnsi="宋体" w:cs="宋体"/>
          <w:color w:val="auto"/>
          <w:sz w:val="24"/>
          <w:szCs w:val="24"/>
          <w:highlight w:val="none"/>
          <w:lang w:val="en-US" w:eastAsia="zh-CN"/>
        </w:rPr>
        <w:t>电磁锁</w:t>
      </w:r>
      <w:r>
        <w:rPr>
          <w:rFonts w:hint="eastAsia" w:ascii="宋体"/>
          <w:color w:val="auto"/>
          <w:kern w:val="0"/>
          <w:sz w:val="24"/>
          <w:szCs w:val="24"/>
          <w:highlight w:val="none"/>
        </w:rPr>
        <w:t>的典型结构如图1所示。</w:t>
      </w:r>
    </w:p>
    <w:p>
      <w:pPr>
        <w:pStyle w:val="17"/>
        <w:widowControl/>
        <w:spacing w:line="276" w:lineRule="auto"/>
        <w:jc w:val="center"/>
        <w:rPr>
          <w:rFonts w:ascii="宋体"/>
          <w:color w:val="auto"/>
          <w:kern w:val="0"/>
          <w:sz w:val="21"/>
          <w:szCs w:val="20"/>
          <w:highlight w:val="none"/>
        </w:rPr>
      </w:pPr>
      <w:r>
        <w:rPr>
          <w:rFonts w:ascii="宋体"/>
          <w:color w:val="auto"/>
          <w:kern w:val="0"/>
          <w:sz w:val="21"/>
          <w:szCs w:val="20"/>
          <w:highlight w:val="none"/>
        </w:rPr>
        <mc:AlternateContent>
          <mc:Choice Requires="wpg">
            <w:drawing>
              <wp:anchor distT="0" distB="0" distL="114300" distR="114300" simplePos="0" relativeHeight="251659264" behindDoc="0" locked="0" layoutInCell="1" allowOverlap="1">
                <wp:simplePos x="0" y="0"/>
                <wp:positionH relativeFrom="margin">
                  <wp:posOffset>818515</wp:posOffset>
                </wp:positionH>
                <wp:positionV relativeFrom="paragraph">
                  <wp:posOffset>85725</wp:posOffset>
                </wp:positionV>
                <wp:extent cx="4070985" cy="699135"/>
                <wp:effectExtent l="6350" t="0" r="18415" b="24765"/>
                <wp:wrapTopAndBottom/>
                <wp:docPr id="5" name="组合 5"/>
                <wp:cNvGraphicFramePr/>
                <a:graphic xmlns:a="http://schemas.openxmlformats.org/drawingml/2006/main">
                  <a:graphicData uri="http://schemas.microsoft.com/office/word/2010/wordprocessingGroup">
                    <wpg:wgp>
                      <wpg:cNvGrpSpPr/>
                      <wpg:grpSpPr>
                        <a:xfrm>
                          <a:off x="0" y="0"/>
                          <a:ext cx="4070985" cy="699135"/>
                          <a:chOff x="243482" y="156634"/>
                          <a:chExt cx="5146344" cy="1982661"/>
                        </a:xfrm>
                        <a:effectLst/>
                      </wpg:grpSpPr>
                      <wps:wsp>
                        <wps:cNvPr id="7" name="矩形 6"/>
                        <wps:cNvSpPr/>
                        <wps:spPr>
                          <a:xfrm>
                            <a:off x="243482" y="183748"/>
                            <a:ext cx="5146344" cy="1955547"/>
                          </a:xfrm>
                          <a:prstGeom prst="rect">
                            <a:avLst/>
                          </a:prstGeom>
                          <a:solidFill>
                            <a:srgbClr val="FFFFFF"/>
                          </a:solidFill>
                          <a:ln w="12700" cap="flat" cmpd="sng" algn="ctr">
                            <a:solidFill>
                              <a:srgbClr val="000000"/>
                            </a:solidFill>
                            <a:prstDash val="solid"/>
                            <a:miter lim="800000"/>
                          </a:ln>
                          <a:effectLst/>
                        </wps:spPr>
                        <wps:bodyPr vert="horz" wrap="square" rtlCol="0" anchor="ctr" anchorCtr="0"/>
                      </wps:wsp>
                      <wps:wsp>
                        <wps:cNvPr id="8" name="文本框 7"/>
                        <wps:cNvSpPr txBox="1"/>
                        <wps:spPr>
                          <a:xfrm>
                            <a:off x="2170686" y="156634"/>
                            <a:ext cx="1827530" cy="781125"/>
                          </a:xfrm>
                          <a:prstGeom prst="rect">
                            <a:avLst/>
                          </a:prstGeom>
                          <a:noFill/>
                          <a:ln>
                            <a:noFill/>
                          </a:ln>
                          <a:effectLst/>
                        </wps:spPr>
                        <wps:txbx>
                          <w:txbxContent>
                            <w:p>
                              <w:pPr>
                                <w:jc w:val="left"/>
                              </w:pPr>
                              <w:r>
                                <w:rPr>
                                  <w:rFonts w:hint="eastAsia" w:ascii="宋体" w:hAnsi="宋体" w:cs="宋体"/>
                                  <w:color w:val="auto"/>
                                  <w:sz w:val="24"/>
                                  <w:szCs w:val="24"/>
                                  <w:highlight w:val="none"/>
                                  <w:lang w:val="en-US" w:eastAsia="zh-CN"/>
                                </w:rPr>
                                <w:t>电磁锁</w:t>
                              </w:r>
                            </w:p>
                          </w:txbxContent>
                        </wps:txbx>
                        <wps:bodyPr vert="horz" wrap="square" rtlCol="0" anchor="t" anchorCtr="0">
                          <a:noAutofit/>
                        </wps:bodyPr>
                      </wps:wsp>
                      <wps:wsp>
                        <wps:cNvPr id="9" name="文本框 8"/>
                        <wps:cNvSpPr txBox="1"/>
                        <wps:spPr>
                          <a:xfrm>
                            <a:off x="652769" y="913887"/>
                            <a:ext cx="1492243" cy="708425"/>
                          </a:xfrm>
                          <a:prstGeom prst="rect">
                            <a:avLst/>
                          </a:prstGeom>
                          <a:noFill/>
                          <a:ln>
                            <a:solidFill>
                              <a:srgbClr val="000000"/>
                            </a:solidFill>
                          </a:ln>
                          <a:effectLst/>
                        </wps:spPr>
                        <wps:txbx>
                          <w:txbxContent>
                            <w:p>
                              <w:pPr>
                                <w:jc w:val="center"/>
                                <w:rPr>
                                  <w:rFonts w:ascii="Calibri" w:hAnsi="等线" w:eastAsia="宋体" w:cs="Times New Roman"/>
                                  <w:color w:val="000000"/>
                                  <w:kern w:val="24"/>
                                  <w:szCs w:val="21"/>
                                </w:rPr>
                              </w:pPr>
                              <w:r>
                                <w:rPr>
                                  <w:rFonts w:hint="eastAsia" w:ascii="宋体" w:hAnsi="宋体" w:cs="宋体"/>
                                  <w:color w:val="auto"/>
                                  <w:sz w:val="24"/>
                                  <w:szCs w:val="24"/>
                                  <w:highlight w:val="none"/>
                                  <w:lang w:val="en-US" w:eastAsia="zh-CN"/>
                                </w:rPr>
                                <w:t>电磁锁</w:t>
                              </w:r>
                              <w:r>
                                <w:rPr>
                                  <w:rFonts w:hint="eastAsia" w:ascii="Calibri" w:hAnsi="等线" w:eastAsia="宋体" w:cs="Times New Roman"/>
                                  <w:color w:val="000000"/>
                                  <w:kern w:val="24"/>
                                  <w:szCs w:val="21"/>
                                </w:rPr>
                                <w:t>传感器</w:t>
                              </w:r>
                            </w:p>
                          </w:txbxContent>
                        </wps:txbx>
                        <wps:bodyPr vert="horz" wrap="square" rtlCol="0" anchor="t" anchorCtr="0">
                          <a:noAutofit/>
                        </wps:bodyPr>
                      </wps:wsp>
                      <wps:wsp>
                        <wps:cNvPr id="11" name="文本框 10"/>
                        <wps:cNvSpPr txBox="1"/>
                        <wps:spPr>
                          <a:xfrm>
                            <a:off x="3473593" y="937759"/>
                            <a:ext cx="1408999" cy="707100"/>
                          </a:xfrm>
                          <a:prstGeom prst="rect">
                            <a:avLst/>
                          </a:prstGeom>
                          <a:noFill/>
                          <a:ln>
                            <a:solidFill>
                              <a:srgbClr val="000000"/>
                            </a:solidFill>
                          </a:ln>
                          <a:effectLst/>
                        </wps:spPr>
                        <wps:txbx>
                          <w:txbxContent>
                            <w:p>
                              <w:pPr>
                                <w:jc w:val="center"/>
                                <w:rPr>
                                  <w:rFonts w:ascii="Calibri" w:hAnsi="等线" w:eastAsia="宋体" w:cs="Times New Roman"/>
                                  <w:color w:val="000000"/>
                                  <w:kern w:val="24"/>
                                  <w:sz w:val="20"/>
                                  <w:szCs w:val="20"/>
                                </w:rPr>
                              </w:pPr>
                              <w:r>
                                <w:rPr>
                                  <w:rFonts w:hint="eastAsia" w:ascii="Calibri" w:hAnsi="等线" w:eastAsia="宋体" w:cs="Times New Roman"/>
                                  <w:color w:val="000000"/>
                                  <w:kern w:val="24"/>
                                  <w:sz w:val="20"/>
                                  <w:szCs w:val="20"/>
                                </w:rPr>
                                <w:t>信号接收装置</w:t>
                              </w:r>
                            </w:p>
                          </w:txbxContent>
                        </wps:txbx>
                        <wps:bodyPr vert="horz" wrap="square" rtlCol="0" anchor="t" anchorCtr="0">
                          <a:noAutofit/>
                        </wps:bodyPr>
                      </wps:wsp>
                      <wps:wsp>
                        <wps:cNvPr id="12" name="箭头: 左右 11"/>
                        <wps:cNvSpPr/>
                        <wps:spPr>
                          <a:xfrm>
                            <a:off x="2386168" y="1104432"/>
                            <a:ext cx="905164" cy="290416"/>
                          </a:xfrm>
                          <a:prstGeom prst="leftRightArrow">
                            <a:avLst/>
                          </a:prstGeom>
                          <a:solidFill>
                            <a:srgbClr val="FFFFFF"/>
                          </a:solidFill>
                          <a:ln w="12700" cap="flat" cmpd="sng" algn="ctr">
                            <a:solidFill>
                              <a:srgbClr val="000000"/>
                            </a:solidFill>
                            <a:prstDash val="solid"/>
                            <a:miter lim="800000"/>
                          </a:ln>
                          <a:effectLst/>
                        </wps:spPr>
                        <wps:bodyPr vert="horz" wrap="square" rtlCol="0" anchor="ctr" anchorCtr="0"/>
                      </wps:wsp>
                    </wpg:wgp>
                  </a:graphicData>
                </a:graphic>
              </wp:anchor>
            </w:drawing>
          </mc:Choice>
          <mc:Fallback>
            <w:pict>
              <v:group id="_x0000_s1026" o:spid="_x0000_s1026" o:spt="203" style="position:absolute;left:0pt;margin-left:64.45pt;margin-top:6.75pt;height:55.05pt;width:320.55pt;mso-position-horizontal-relative:margin;mso-wrap-distance-bottom:0pt;mso-wrap-distance-top:0pt;z-index:251659264;mso-width-relative:page;mso-height-relative:page;" coordorigin="243482,156634" coordsize="5146344,1982661" o:gfxdata="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">
                <o:lock v:ext="edit" aspectratio="f"/>
                <v:rect id="矩形 6" o:spid="_x0000_s1026" o:spt="1" style="position:absolute;left:243482;top:183748;height:1955547;width:5146344;v-text-anchor:middle;" fillcolor="#FFFFFF"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rect>
                <v:shape id="文本框 7" o:spid="_x0000_s1026" o:spt="202" type="#_x0000_t202" style="position:absolute;left:2170686;top:156634;height:781125;width:1827530;" filled="f" stroked="f" coordsize="21600,21600" o:gfxdata="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lBQkbgAAADa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jc w:val="left"/>
                        </w:pPr>
                        <w:r>
                          <w:rPr>
                            <w:rFonts w:hint="eastAsia" w:ascii="宋体" w:hAnsi="宋体" w:cs="宋体"/>
                            <w:color w:val="auto"/>
                            <w:sz w:val="24"/>
                            <w:szCs w:val="24"/>
                            <w:highlight w:val="none"/>
                            <w:lang w:val="en-US" w:eastAsia="zh-CN"/>
                          </w:rPr>
                          <w:t>电磁锁</w:t>
                        </w:r>
                      </w:p>
                    </w:txbxContent>
                  </v:textbox>
                </v:shape>
                <v:shape id="文本框 8" o:spid="_x0000_s1026" o:spt="202" type="#_x0000_t202" style="position:absolute;left:652769;top:913887;height:708425;width:1492243;" filled="f" stroked="t" coordsize="21600,21600" o:gfxdata="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ABUsttwAAANoAAAAP&#10;AAAAAAAAAAEAIAAAACIAAABkcnMvZG93bnJldi54bWxQSwECFAAUAAAACACHTuJAMy8FnjsAAAA5&#10;AAAAEAAAAAAAAAABACAAAAAGAQAAZHJzL3NoYXBleG1sLnhtbFBLBQYAAAAABgAGAFsBAACwAwAA&#10;AAA=&#10;">
                  <v:fill on="f" focussize="0,0"/>
                  <v:stroke color="#000000" joinstyle="round"/>
                  <v:imagedata o:title=""/>
                  <o:lock v:ext="edit" aspectratio="f"/>
                  <v:textbox>
                    <w:txbxContent>
                      <w:p>
                        <w:pPr>
                          <w:jc w:val="center"/>
                          <w:rPr>
                            <w:rFonts w:ascii="Calibri" w:hAnsi="等线" w:eastAsia="宋体" w:cs="Times New Roman"/>
                            <w:color w:val="000000"/>
                            <w:kern w:val="24"/>
                            <w:szCs w:val="21"/>
                          </w:rPr>
                        </w:pPr>
                        <w:r>
                          <w:rPr>
                            <w:rFonts w:hint="eastAsia" w:ascii="宋体" w:hAnsi="宋体" w:cs="宋体"/>
                            <w:color w:val="auto"/>
                            <w:sz w:val="24"/>
                            <w:szCs w:val="24"/>
                            <w:highlight w:val="none"/>
                            <w:lang w:val="en-US" w:eastAsia="zh-CN"/>
                          </w:rPr>
                          <w:t>电磁锁</w:t>
                        </w:r>
                        <w:r>
                          <w:rPr>
                            <w:rFonts w:hint="eastAsia" w:ascii="Calibri" w:hAnsi="等线" w:eastAsia="宋体" w:cs="Times New Roman"/>
                            <w:color w:val="000000"/>
                            <w:kern w:val="24"/>
                            <w:szCs w:val="21"/>
                          </w:rPr>
                          <w:t>传感器</w:t>
                        </w:r>
                      </w:p>
                    </w:txbxContent>
                  </v:textbox>
                </v:shape>
                <v:shape id="文本框 10" o:spid="_x0000_s1026" o:spt="202" type="#_x0000_t202" style="position:absolute;left:3473593;top:937759;height:707100;width:1408999;" filled="f" stroked="t" coordsize="21600,21600" o:gfxdata="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M8Ir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textbox>
                    <w:txbxContent>
                      <w:p>
                        <w:pPr>
                          <w:jc w:val="center"/>
                          <w:rPr>
                            <w:rFonts w:ascii="Calibri" w:hAnsi="等线" w:eastAsia="宋体" w:cs="Times New Roman"/>
                            <w:color w:val="000000"/>
                            <w:kern w:val="24"/>
                            <w:sz w:val="20"/>
                            <w:szCs w:val="20"/>
                          </w:rPr>
                        </w:pPr>
                        <w:r>
                          <w:rPr>
                            <w:rFonts w:hint="eastAsia" w:ascii="Calibri" w:hAnsi="等线" w:eastAsia="宋体" w:cs="Times New Roman"/>
                            <w:color w:val="000000"/>
                            <w:kern w:val="24"/>
                            <w:sz w:val="20"/>
                            <w:szCs w:val="20"/>
                          </w:rPr>
                          <w:t>信号接收装置</w:t>
                        </w:r>
                      </w:p>
                    </w:txbxContent>
                  </v:textbox>
                </v:shape>
                <v:shape id="箭头: 左右 11" o:spid="_x0000_s1026" o:spt="69" type="#_x0000_t69" style="position:absolute;left:2386168;top:1104432;height:290416;width:905164;v-text-anchor:middle;" fillcolor="#FFFFFF" filled="t" stroked="t" coordsize="21600,21600" o:gfxdata="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thVvbsAAADb&#10;AAAADwAAAAAAAAABACAAAAAiAAAAZHJzL2Rvd25yZXYueG1sUEsBAhQAFAAAAAgAh07iQDMvBZ47&#10;AAAAOQAAABAAAAAAAAAAAQAgAAAACgEAAGRycy9zaGFwZXhtbC54bWxQSwUGAAAAAAYABgBbAQAA&#10;tAMAAAAA&#10;" adj="3465,5400">
                  <v:fill on="t" focussize="0,0"/>
                  <v:stroke weight="1pt" color="#000000" miterlimit="8" joinstyle="miter"/>
                  <v:imagedata o:title=""/>
                  <o:lock v:ext="edit" aspectratio="f"/>
                </v:shape>
                <w10:wrap type="topAndBottom"/>
              </v:group>
            </w:pict>
          </mc:Fallback>
        </mc:AlternateContent>
      </w:r>
      <w:r>
        <w:rPr>
          <w:rFonts w:hint="eastAsia" w:ascii="宋体"/>
          <w:color w:val="auto"/>
          <w:kern w:val="0"/>
          <w:sz w:val="21"/>
          <w:szCs w:val="20"/>
          <w:highlight w:val="none"/>
        </w:rPr>
        <w:t>图1</w:t>
      </w:r>
      <w:r>
        <w:rPr>
          <w:rFonts w:ascii="宋体"/>
          <w:color w:val="auto"/>
          <w:kern w:val="0"/>
          <w:sz w:val="21"/>
          <w:szCs w:val="20"/>
          <w:highlight w:val="none"/>
        </w:rPr>
        <w:t xml:space="preserve"> </w:t>
      </w:r>
      <w:r>
        <w:rPr>
          <w:rFonts w:hint="eastAsia" w:ascii="宋体"/>
          <w:color w:val="auto"/>
          <w:kern w:val="0"/>
          <w:sz w:val="21"/>
          <w:szCs w:val="20"/>
          <w:highlight w:val="none"/>
        </w:rPr>
        <w:t>磁感应装置</w:t>
      </w:r>
    </w:p>
    <w:p>
      <w:pPr>
        <w:spacing w:line="360" w:lineRule="auto"/>
        <w:ind w:firstLine="480" w:firstLineChars="200"/>
        <w:rPr>
          <w:rFonts w:hint="eastAsia" w:ascii="宋体"/>
          <w:color w:val="auto"/>
          <w:kern w:val="0"/>
          <w:sz w:val="24"/>
          <w:szCs w:val="24"/>
          <w:highlight w:val="none"/>
        </w:rPr>
      </w:pPr>
      <w:r>
        <w:rPr>
          <w:rFonts w:hint="eastAsia" w:ascii="宋体" w:hAnsi="宋体" w:cs="宋体"/>
          <w:color w:val="auto"/>
          <w:sz w:val="24"/>
          <w:szCs w:val="24"/>
          <w:highlight w:val="none"/>
          <w:lang w:val="en-US" w:eastAsia="zh-CN"/>
        </w:rPr>
        <w:t>电磁锁</w:t>
      </w:r>
      <w:r>
        <w:rPr>
          <w:rFonts w:hint="eastAsia" w:ascii="宋体"/>
          <w:color w:val="auto"/>
          <w:kern w:val="0"/>
          <w:sz w:val="24"/>
          <w:szCs w:val="24"/>
          <w:highlight w:val="none"/>
        </w:rPr>
        <w:t>应满足以下功能</w:t>
      </w:r>
      <w:r>
        <w:rPr>
          <w:rFonts w:hint="eastAsia"/>
          <w:color w:val="auto"/>
          <w:sz w:val="24"/>
          <w:szCs w:val="24"/>
          <w:highlight w:val="none"/>
        </w:rPr>
        <w:t>要求</w:t>
      </w:r>
      <w:r>
        <w:rPr>
          <w:rFonts w:hint="eastAsia" w:ascii="宋体"/>
          <w:color w:val="auto"/>
          <w:kern w:val="0"/>
          <w:sz w:val="24"/>
          <w:szCs w:val="24"/>
          <w:highlight w:val="none"/>
        </w:rPr>
        <w:t>：</w:t>
      </w:r>
    </w:p>
    <w:p>
      <w:pPr>
        <w:spacing w:line="360" w:lineRule="auto"/>
        <w:ind w:firstLine="480" w:firstLineChars="200"/>
        <w:rPr>
          <w:rFonts w:hint="eastAsia" w:ascii="宋体"/>
          <w:color w:val="auto"/>
          <w:kern w:val="0"/>
          <w:sz w:val="24"/>
          <w:szCs w:val="24"/>
          <w:highlight w:val="none"/>
        </w:rPr>
      </w:pP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2"/>
        <w:rPr>
          <w:rFonts w:hint="eastAsia" w:ascii="宋体" w:hAnsi="宋体" w:eastAsia="宋体" w:cs="宋体"/>
          <w:color w:val="auto"/>
          <w:sz w:val="24"/>
          <w:szCs w:val="24"/>
          <w:highlight w:val="none"/>
          <w:lang w:val="en-US" w:eastAsia="zh-CN"/>
        </w:rPr>
      </w:pPr>
      <w:bookmarkStart w:id="53" w:name="_Toc130308965"/>
      <w:bookmarkStart w:id="54" w:name="_Toc519606200"/>
      <w:bookmarkStart w:id="55" w:name="_Toc494469330"/>
      <w:bookmarkStart w:id="56" w:name="_Toc127518957"/>
      <w:bookmarkStart w:id="57" w:name="_Toc494815837"/>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 xml:space="preserve">.1 </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lang w:val="en-US" w:eastAsia="zh-CN"/>
        </w:rPr>
        <w:t>传感器技术要求</w:t>
      </w:r>
      <w:bookmarkEnd w:id="53"/>
    </w:p>
    <w:p>
      <w:pPr>
        <w:pStyle w:val="48"/>
        <w:numPr>
          <w:ilvl w:val="0"/>
          <w:numId w:val="3"/>
        </w:numPr>
        <w:tabs>
          <w:tab w:val="center" w:pos="851"/>
          <w:tab w:val="right" w:leader="dot" w:pos="9298"/>
        </w:tabs>
        <w:spacing w:line="360" w:lineRule="auto"/>
        <w:ind w:left="840" w:firstLineChars="0"/>
        <w:rPr>
          <w:rFonts w:hint="eastAsia" w:ascii="宋体" w:hAnsi="宋体" w:eastAsia="宋体" w:cs="宋体"/>
          <w:color w:val="auto"/>
          <w:kern w:val="2"/>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传感器安装应满足刀闸位置非同源采集的要求</w:t>
      </w:r>
      <w:r>
        <w:rPr>
          <w:rFonts w:hint="eastAsia" w:ascii="宋体" w:hAnsi="宋体" w:eastAsia="宋体" w:cs="宋体"/>
          <w:color w:val="auto"/>
          <w:kern w:val="2"/>
          <w:sz w:val="24"/>
          <w:szCs w:val="24"/>
          <w:highlight w:val="none"/>
        </w:rPr>
        <w:t>；</w:t>
      </w:r>
    </w:p>
    <w:p>
      <w:pPr>
        <w:pStyle w:val="48"/>
        <w:numPr>
          <w:ilvl w:val="0"/>
          <w:numId w:val="3"/>
        </w:numPr>
        <w:tabs>
          <w:tab w:val="center" w:pos="851"/>
          <w:tab w:val="right" w:leader="dot" w:pos="9298"/>
        </w:tabs>
        <w:spacing w:line="360" w:lineRule="auto"/>
        <w:ind w:left="840" w:firstLineChars="0"/>
        <w:rPr>
          <w:rFonts w:hint="eastAsia" w:ascii="宋体" w:hAnsi="宋体" w:eastAsia="宋体" w:cs="宋体"/>
          <w:color w:val="auto"/>
          <w:kern w:val="2"/>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传感器能可靠、有效地检测到开关设备的分合闸位置变化</w:t>
      </w:r>
      <w:r>
        <w:rPr>
          <w:rFonts w:hint="eastAsia" w:ascii="宋体" w:hAnsi="宋体" w:eastAsia="宋体" w:cs="宋体"/>
          <w:color w:val="auto"/>
          <w:kern w:val="2"/>
          <w:sz w:val="24"/>
          <w:szCs w:val="24"/>
          <w:highlight w:val="none"/>
        </w:rPr>
        <w:t>，并能够将</w:t>
      </w:r>
      <w:r>
        <w:rPr>
          <w:rFonts w:hint="eastAsia" w:ascii="宋体" w:hAnsi="宋体" w:eastAsia="宋体" w:cs="宋体"/>
          <w:color w:val="auto"/>
          <w:kern w:val="2"/>
          <w:sz w:val="24"/>
          <w:szCs w:val="24"/>
          <w:highlight w:val="none"/>
          <w:lang w:val="en-US" w:eastAsia="zh-CN"/>
        </w:rPr>
        <w:t>开关设备</w:t>
      </w:r>
      <w:r>
        <w:rPr>
          <w:rFonts w:hint="eastAsia" w:ascii="宋体" w:hAnsi="宋体" w:eastAsia="宋体" w:cs="宋体"/>
          <w:color w:val="auto"/>
          <w:kern w:val="2"/>
          <w:sz w:val="24"/>
          <w:szCs w:val="24"/>
          <w:highlight w:val="none"/>
        </w:rPr>
        <w:t>的位置信息发送到</w:t>
      </w:r>
      <w:r>
        <w:rPr>
          <w:rFonts w:hint="eastAsia" w:ascii="宋体" w:hAnsi="宋体" w:eastAsia="宋体" w:cs="宋体"/>
          <w:color w:val="auto"/>
          <w:kern w:val="2"/>
          <w:sz w:val="24"/>
          <w:szCs w:val="24"/>
          <w:highlight w:val="none"/>
          <w:lang w:val="en-US" w:eastAsia="zh-CN"/>
        </w:rPr>
        <w:t>信号</w:t>
      </w:r>
      <w:r>
        <w:rPr>
          <w:rFonts w:hint="eastAsia" w:ascii="宋体" w:hAnsi="宋体" w:eastAsia="宋体" w:cs="宋体"/>
          <w:color w:val="auto"/>
          <w:kern w:val="2"/>
          <w:sz w:val="24"/>
          <w:szCs w:val="24"/>
          <w:highlight w:val="none"/>
        </w:rPr>
        <w:t>接收装置；</w:t>
      </w:r>
    </w:p>
    <w:p>
      <w:pPr>
        <w:pStyle w:val="48"/>
        <w:numPr>
          <w:ilvl w:val="0"/>
          <w:numId w:val="3"/>
        </w:numPr>
        <w:tabs>
          <w:tab w:val="center" w:pos="851"/>
          <w:tab w:val="right" w:leader="dot" w:pos="9298"/>
        </w:tabs>
        <w:spacing w:line="360" w:lineRule="auto"/>
        <w:ind w:left="840" w:firstLineChars="0"/>
        <w:rPr>
          <w:rFonts w:hint="eastAsia" w:ascii="宋体" w:hAnsi="宋体" w:eastAsia="宋体" w:cs="宋体"/>
          <w:color w:val="auto"/>
          <w:kern w:val="2"/>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kern w:val="2"/>
          <w:sz w:val="24"/>
          <w:szCs w:val="24"/>
          <w:highlight w:val="none"/>
        </w:rPr>
        <w:t>传感器的安装</w:t>
      </w:r>
      <w:r>
        <w:rPr>
          <w:rFonts w:hint="eastAsia" w:ascii="宋体" w:hAnsi="宋体" w:eastAsia="宋体" w:cs="宋体"/>
          <w:color w:val="auto"/>
          <w:kern w:val="2"/>
          <w:sz w:val="24"/>
          <w:szCs w:val="24"/>
          <w:highlight w:val="none"/>
          <w:lang w:val="en-US" w:eastAsia="zh-CN"/>
        </w:rPr>
        <w:t>应</w:t>
      </w:r>
      <w:r>
        <w:rPr>
          <w:rFonts w:hint="eastAsia" w:ascii="宋体" w:hAnsi="宋体" w:eastAsia="宋体" w:cs="宋体"/>
          <w:color w:val="auto"/>
          <w:kern w:val="2"/>
          <w:sz w:val="24"/>
          <w:szCs w:val="24"/>
          <w:highlight w:val="none"/>
        </w:rPr>
        <w:t>满足</w:t>
      </w:r>
      <w:r>
        <w:rPr>
          <w:rFonts w:hint="eastAsia" w:ascii="宋体" w:hAnsi="宋体" w:eastAsia="宋体" w:cs="宋体"/>
          <w:color w:val="auto"/>
          <w:kern w:val="2"/>
          <w:sz w:val="24"/>
          <w:szCs w:val="24"/>
          <w:highlight w:val="none"/>
          <w:lang w:eastAsia="zh-CN"/>
        </w:rPr>
        <w:t>开关设备</w:t>
      </w:r>
      <w:r>
        <w:rPr>
          <w:rFonts w:hint="eastAsia" w:ascii="宋体" w:hAnsi="宋体" w:eastAsia="宋体" w:cs="宋体"/>
          <w:color w:val="auto"/>
          <w:kern w:val="2"/>
          <w:sz w:val="24"/>
          <w:szCs w:val="24"/>
          <w:highlight w:val="none"/>
        </w:rPr>
        <w:t>的不同结构和空间要求，不应影响</w:t>
      </w:r>
      <w:r>
        <w:rPr>
          <w:rFonts w:hint="eastAsia" w:ascii="宋体" w:hAnsi="宋体" w:eastAsia="宋体" w:cs="宋体"/>
          <w:color w:val="auto"/>
          <w:kern w:val="2"/>
          <w:sz w:val="24"/>
          <w:szCs w:val="24"/>
          <w:highlight w:val="none"/>
          <w:lang w:eastAsia="zh-CN"/>
        </w:rPr>
        <w:t>开关设备</w:t>
      </w:r>
      <w:r>
        <w:rPr>
          <w:rFonts w:hint="eastAsia" w:ascii="宋体" w:hAnsi="宋体" w:eastAsia="宋体" w:cs="宋体"/>
          <w:color w:val="auto"/>
          <w:kern w:val="2"/>
          <w:sz w:val="24"/>
          <w:szCs w:val="24"/>
          <w:highlight w:val="none"/>
        </w:rPr>
        <w:t>的性能，磁感应传感器安装位置应尽量靠近</w:t>
      </w:r>
      <w:r>
        <w:rPr>
          <w:rFonts w:hint="eastAsia" w:ascii="宋体" w:hAnsi="宋体" w:eastAsia="宋体" w:cs="宋体"/>
          <w:color w:val="auto"/>
          <w:kern w:val="2"/>
          <w:sz w:val="24"/>
          <w:szCs w:val="24"/>
          <w:highlight w:val="none"/>
          <w:lang w:eastAsia="zh-CN"/>
        </w:rPr>
        <w:t>开关设备</w:t>
      </w:r>
      <w:r>
        <w:rPr>
          <w:rFonts w:hint="eastAsia" w:ascii="宋体" w:hAnsi="宋体" w:eastAsia="宋体" w:cs="宋体"/>
          <w:color w:val="auto"/>
          <w:kern w:val="2"/>
          <w:sz w:val="24"/>
          <w:szCs w:val="24"/>
          <w:highlight w:val="none"/>
        </w:rPr>
        <w:t>机构传动链末端；</w:t>
      </w:r>
    </w:p>
    <w:p>
      <w:pPr>
        <w:pStyle w:val="48"/>
        <w:numPr>
          <w:ilvl w:val="0"/>
          <w:numId w:val="3"/>
        </w:numPr>
        <w:tabs>
          <w:tab w:val="center" w:pos="851"/>
          <w:tab w:val="right" w:leader="dot" w:pos="9298"/>
        </w:tabs>
        <w:spacing w:line="360" w:lineRule="auto"/>
        <w:ind w:left="840" w:firstLineChars="0"/>
        <w:rPr>
          <w:rFonts w:hint="eastAsia" w:ascii="宋体" w:hAnsi="宋体" w:eastAsia="宋体" w:cs="宋体"/>
          <w:color w:val="auto"/>
          <w:kern w:val="2"/>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kern w:val="2"/>
          <w:sz w:val="24"/>
          <w:szCs w:val="24"/>
          <w:highlight w:val="none"/>
        </w:rPr>
        <w:t>应具备自检</w:t>
      </w:r>
      <w:r>
        <w:rPr>
          <w:rFonts w:hint="eastAsia" w:ascii="宋体" w:hAnsi="宋体" w:eastAsia="宋体" w:cs="宋体"/>
          <w:color w:val="auto"/>
          <w:kern w:val="2"/>
          <w:sz w:val="24"/>
          <w:szCs w:val="24"/>
          <w:highlight w:val="none"/>
          <w:lang w:val="en-US" w:eastAsia="zh-CN"/>
        </w:rPr>
        <w:t>和失电重启自恢复</w:t>
      </w:r>
      <w:r>
        <w:rPr>
          <w:rFonts w:hint="eastAsia" w:ascii="宋体" w:hAnsi="宋体" w:eastAsia="宋体" w:cs="宋体"/>
          <w:color w:val="auto"/>
          <w:kern w:val="2"/>
          <w:sz w:val="24"/>
          <w:szCs w:val="24"/>
          <w:highlight w:val="none"/>
        </w:rPr>
        <w:t>功能，能够对</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kern w:val="2"/>
          <w:sz w:val="24"/>
          <w:szCs w:val="24"/>
          <w:highlight w:val="none"/>
        </w:rPr>
        <w:t>传感器内部关键器件进行故障检测</w:t>
      </w:r>
      <w:r>
        <w:rPr>
          <w:rFonts w:hint="eastAsia" w:ascii="宋体" w:hAnsi="宋体" w:eastAsia="宋体" w:cs="宋体"/>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2"/>
        <w:rPr>
          <w:rFonts w:hint="eastAsia" w:ascii="宋体" w:hAnsi="宋体" w:eastAsia="宋体" w:cs="宋体"/>
          <w:color w:val="auto"/>
          <w:sz w:val="24"/>
          <w:szCs w:val="24"/>
          <w:highlight w:val="none"/>
          <w:lang w:val="en-US" w:eastAsia="zh-CN"/>
        </w:rPr>
      </w:pPr>
      <w:bookmarkStart w:id="58" w:name="_Toc130308966"/>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.2 信号接收装置技术要求</w:t>
      </w:r>
      <w:bookmarkEnd w:id="58"/>
    </w:p>
    <w:p>
      <w:pPr>
        <w:pStyle w:val="48"/>
        <w:numPr>
          <w:ilvl w:val="0"/>
          <w:numId w:val="4"/>
        </w:numPr>
        <w:tabs>
          <w:tab w:val="center" w:pos="851"/>
          <w:tab w:val="right" w:leader="dot" w:pos="9298"/>
        </w:tabs>
        <w:spacing w:line="360" w:lineRule="auto"/>
        <w:ind w:firstLineChars="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信号</w:t>
      </w:r>
      <w:r>
        <w:rPr>
          <w:rFonts w:hint="eastAsia" w:ascii="宋体" w:hAnsi="宋体" w:eastAsia="宋体" w:cs="宋体"/>
          <w:color w:val="auto"/>
          <w:kern w:val="2"/>
          <w:sz w:val="24"/>
          <w:szCs w:val="24"/>
          <w:highlight w:val="none"/>
        </w:rPr>
        <w:t>接收装置应具备</w:t>
      </w:r>
      <w:r>
        <w:rPr>
          <w:rFonts w:hint="eastAsia" w:ascii="宋体" w:hAnsi="宋体" w:eastAsia="宋体" w:cs="宋体"/>
          <w:color w:val="auto"/>
          <w:kern w:val="2"/>
          <w:sz w:val="24"/>
          <w:szCs w:val="24"/>
          <w:highlight w:val="none"/>
          <w:lang w:eastAsia="zh-CN"/>
        </w:rPr>
        <w:t>开关设备</w:t>
      </w:r>
      <w:r>
        <w:rPr>
          <w:rFonts w:hint="eastAsia" w:ascii="宋体" w:hAnsi="宋体" w:eastAsia="宋体" w:cs="宋体"/>
          <w:color w:val="auto"/>
          <w:kern w:val="2"/>
          <w:sz w:val="24"/>
          <w:szCs w:val="24"/>
          <w:highlight w:val="none"/>
        </w:rPr>
        <w:t>位置逻辑判断功能，根据接收到的</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kern w:val="2"/>
          <w:sz w:val="24"/>
          <w:szCs w:val="24"/>
          <w:highlight w:val="none"/>
        </w:rPr>
        <w:t>传感器信号，准确判断</w:t>
      </w:r>
      <w:r>
        <w:rPr>
          <w:rFonts w:hint="eastAsia" w:ascii="宋体" w:hAnsi="宋体" w:eastAsia="宋体" w:cs="宋体"/>
          <w:color w:val="auto"/>
          <w:kern w:val="2"/>
          <w:sz w:val="24"/>
          <w:szCs w:val="24"/>
          <w:highlight w:val="none"/>
          <w:lang w:eastAsia="zh-CN"/>
        </w:rPr>
        <w:t>开关设备</w:t>
      </w:r>
      <w:r>
        <w:rPr>
          <w:rFonts w:hint="eastAsia" w:ascii="宋体" w:hAnsi="宋体" w:eastAsia="宋体" w:cs="宋体"/>
          <w:color w:val="auto"/>
          <w:kern w:val="2"/>
          <w:sz w:val="24"/>
          <w:szCs w:val="24"/>
          <w:highlight w:val="none"/>
        </w:rPr>
        <w:t>本体分闸到位、合闸到位、分闸异常、合闸异常四种位置状态。</w:t>
      </w:r>
    </w:p>
    <w:p>
      <w:pPr>
        <w:pStyle w:val="48"/>
        <w:numPr>
          <w:ilvl w:val="0"/>
          <w:numId w:val="4"/>
        </w:numPr>
        <w:tabs>
          <w:tab w:val="center" w:pos="851"/>
          <w:tab w:val="right" w:leader="dot" w:pos="9298"/>
        </w:tabs>
        <w:spacing w:line="360" w:lineRule="auto"/>
        <w:ind w:firstLineChars="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信号</w:t>
      </w:r>
      <w:r>
        <w:rPr>
          <w:rFonts w:hint="eastAsia" w:ascii="宋体" w:hAnsi="宋体" w:eastAsia="宋体" w:cs="宋体"/>
          <w:color w:val="auto"/>
          <w:kern w:val="2"/>
          <w:sz w:val="24"/>
          <w:szCs w:val="24"/>
          <w:highlight w:val="none"/>
        </w:rPr>
        <w:t>接收装置应具备无源接点输出或RS485通信功能</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sz w:val="24"/>
          <w:szCs w:val="24"/>
          <w:highlight w:val="none"/>
        </w:rPr>
        <w:t>无源接点输出应采用分位、合位双位置接点形式</w:t>
      </w:r>
      <w:r>
        <w:rPr>
          <w:rFonts w:hint="eastAsia" w:ascii="宋体" w:hAnsi="宋体" w:eastAsia="宋体" w:cs="宋体"/>
          <w:color w:val="auto"/>
          <w:kern w:val="2"/>
          <w:sz w:val="24"/>
          <w:szCs w:val="24"/>
          <w:highlight w:val="none"/>
        </w:rPr>
        <w:t>。</w:t>
      </w:r>
    </w:p>
    <w:p>
      <w:pPr>
        <w:pStyle w:val="48"/>
        <w:numPr>
          <w:ilvl w:val="0"/>
          <w:numId w:val="4"/>
        </w:numPr>
        <w:tabs>
          <w:tab w:val="center" w:pos="851"/>
          <w:tab w:val="right" w:leader="dot" w:pos="9298"/>
        </w:tabs>
        <w:spacing w:line="360" w:lineRule="auto"/>
        <w:ind w:firstLineChars="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信号接收装置具有分合闸状态信号指示灯，能够就地指示开关设备分合状态；</w:t>
      </w:r>
    </w:p>
    <w:p>
      <w:pPr>
        <w:pStyle w:val="48"/>
        <w:numPr>
          <w:ilvl w:val="0"/>
          <w:numId w:val="4"/>
        </w:numPr>
        <w:tabs>
          <w:tab w:val="center" w:pos="851"/>
          <w:tab w:val="right" w:leader="dot" w:pos="9298"/>
        </w:tabs>
        <w:spacing w:line="360" w:lineRule="auto"/>
        <w:ind w:firstLineChars="0"/>
        <w:rPr>
          <w:rFonts w:hint="eastAsia" w:hAnsi="宋体" w:cs="宋体"/>
          <w:color w:val="auto"/>
          <w:kern w:val="2"/>
          <w:sz w:val="24"/>
          <w:szCs w:val="24"/>
          <w:highlight w:val="none"/>
        </w:rPr>
      </w:pPr>
      <w:r>
        <w:rPr>
          <w:rFonts w:hint="eastAsia" w:hAnsi="宋体" w:cs="宋体"/>
          <w:color w:val="auto"/>
          <w:kern w:val="2"/>
          <w:sz w:val="24"/>
          <w:szCs w:val="24"/>
          <w:highlight w:val="none"/>
        </w:rPr>
        <w:t>信号接收装置应具有磁感应传感器故障检测功能，具有传感器故障就地指示灯，能够就地判断磁感应传感器工作状态；</w:t>
      </w:r>
    </w:p>
    <w:p>
      <w:pPr>
        <w:pStyle w:val="48"/>
        <w:numPr>
          <w:ilvl w:val="0"/>
          <w:numId w:val="4"/>
        </w:numPr>
        <w:tabs>
          <w:tab w:val="center" w:pos="851"/>
          <w:tab w:val="right" w:leader="dot" w:pos="9298"/>
        </w:tabs>
        <w:spacing w:line="360" w:lineRule="auto"/>
        <w:ind w:firstLineChars="0"/>
        <w:rPr>
          <w:rFonts w:hint="eastAsia" w:hAnsi="宋体" w:cs="宋体"/>
          <w:color w:val="auto"/>
          <w:kern w:val="2"/>
          <w:sz w:val="24"/>
          <w:szCs w:val="24"/>
          <w:highlight w:val="none"/>
        </w:rPr>
      </w:pPr>
      <w:r>
        <w:rPr>
          <w:rFonts w:hint="eastAsia" w:hAnsi="宋体" w:cs="宋体"/>
          <w:color w:val="auto"/>
          <w:kern w:val="2"/>
          <w:sz w:val="24"/>
          <w:szCs w:val="24"/>
          <w:highlight w:val="none"/>
        </w:rPr>
        <w:t>信号接收装置应具备刀闸操作超时时长设定及判断，并输出操作异常信号；</w:t>
      </w:r>
    </w:p>
    <w:p>
      <w:pPr>
        <w:pStyle w:val="48"/>
        <w:numPr>
          <w:ilvl w:val="0"/>
          <w:numId w:val="4"/>
        </w:numPr>
        <w:tabs>
          <w:tab w:val="center" w:pos="851"/>
          <w:tab w:val="right" w:leader="dot" w:pos="9298"/>
        </w:tabs>
        <w:spacing w:line="360" w:lineRule="auto"/>
        <w:ind w:firstLineChars="0"/>
        <w:rPr>
          <w:rFonts w:hAnsi="宋体" w:cs="宋体"/>
          <w:color w:val="auto"/>
          <w:kern w:val="2"/>
          <w:sz w:val="24"/>
          <w:szCs w:val="24"/>
          <w:highlight w:val="none"/>
        </w:rPr>
      </w:pPr>
      <w:r>
        <w:rPr>
          <w:rFonts w:hint="eastAsia" w:hAnsi="宋体" w:cs="宋体"/>
          <w:color w:val="auto"/>
          <w:kern w:val="2"/>
          <w:sz w:val="24"/>
          <w:szCs w:val="24"/>
          <w:highlight w:val="none"/>
        </w:rPr>
        <w:t>信号接收装置应具有装置自身自检功能，包括硬件自检、软件自检</w:t>
      </w:r>
      <w:r>
        <w:rPr>
          <w:rFonts w:hint="eastAsia" w:hAnsi="宋体" w:cs="宋体"/>
          <w:color w:val="auto"/>
          <w:kern w:val="2"/>
          <w:sz w:val="24"/>
          <w:szCs w:val="24"/>
          <w:highlight w:val="none"/>
          <w:lang w:eastAsia="zh-CN"/>
        </w:rPr>
        <w:t>、</w:t>
      </w:r>
      <w:r>
        <w:rPr>
          <w:rFonts w:hint="eastAsia" w:hAnsi="宋体" w:cs="宋体"/>
          <w:color w:val="auto"/>
          <w:kern w:val="2"/>
          <w:sz w:val="24"/>
          <w:szCs w:val="24"/>
          <w:highlight w:val="none"/>
        </w:rPr>
        <w:t>通信链路状态自检等，装置自检状态应能就地指示；</w:t>
      </w:r>
    </w:p>
    <w:p>
      <w:pPr>
        <w:pStyle w:val="48"/>
        <w:numPr>
          <w:ilvl w:val="0"/>
          <w:numId w:val="4"/>
        </w:numPr>
        <w:tabs>
          <w:tab w:val="center" w:pos="851"/>
          <w:tab w:val="right" w:leader="dot" w:pos="9298"/>
        </w:tabs>
        <w:spacing w:line="360" w:lineRule="auto"/>
        <w:ind w:firstLineChars="0"/>
        <w:rPr>
          <w:rFonts w:hAnsi="宋体" w:cs="宋体"/>
          <w:color w:val="auto"/>
          <w:kern w:val="2"/>
          <w:sz w:val="24"/>
          <w:szCs w:val="24"/>
          <w:highlight w:val="none"/>
        </w:rPr>
      </w:pPr>
      <w:r>
        <w:rPr>
          <w:rFonts w:hint="eastAsia" w:hAnsi="宋体" w:cs="宋体"/>
          <w:color w:val="auto"/>
          <w:kern w:val="2"/>
          <w:sz w:val="24"/>
          <w:szCs w:val="24"/>
          <w:highlight w:val="none"/>
          <w:lang w:val="en-US" w:eastAsia="zh-CN"/>
        </w:rPr>
        <w:t>信号</w:t>
      </w:r>
      <w:r>
        <w:rPr>
          <w:rFonts w:hint="eastAsia" w:hAnsi="宋体" w:cs="宋体"/>
          <w:color w:val="auto"/>
          <w:kern w:val="2"/>
          <w:sz w:val="24"/>
          <w:szCs w:val="24"/>
          <w:highlight w:val="none"/>
        </w:rPr>
        <w:t>接收装置应具备失电告警输出功能；</w:t>
      </w:r>
    </w:p>
    <w:p>
      <w:pPr>
        <w:pStyle w:val="48"/>
        <w:numPr>
          <w:ilvl w:val="0"/>
          <w:numId w:val="4"/>
        </w:numPr>
        <w:tabs>
          <w:tab w:val="center" w:pos="851"/>
          <w:tab w:val="right" w:leader="dot" w:pos="9298"/>
        </w:tabs>
        <w:spacing w:line="360" w:lineRule="auto"/>
        <w:ind w:firstLineChars="0"/>
        <w:rPr>
          <w:rFonts w:hAnsi="宋体" w:cs="宋体"/>
          <w:color w:val="auto"/>
          <w:kern w:val="2"/>
          <w:sz w:val="24"/>
          <w:szCs w:val="24"/>
          <w:highlight w:val="none"/>
        </w:rPr>
      </w:pPr>
      <w:r>
        <w:rPr>
          <w:rFonts w:hint="eastAsia" w:hAnsi="宋体" w:cs="宋体"/>
          <w:color w:val="auto"/>
          <w:kern w:val="2"/>
          <w:sz w:val="24"/>
          <w:szCs w:val="24"/>
          <w:highlight w:val="none"/>
          <w:lang w:val="en-US" w:eastAsia="zh-CN"/>
        </w:rPr>
        <w:t>信号</w:t>
      </w:r>
      <w:r>
        <w:rPr>
          <w:rFonts w:hint="eastAsia" w:hAnsi="宋体" w:cs="宋体"/>
          <w:color w:val="auto"/>
          <w:kern w:val="2"/>
          <w:sz w:val="24"/>
          <w:szCs w:val="24"/>
          <w:highlight w:val="none"/>
        </w:rPr>
        <w:t>接收装置应具备数据存储和事件记录的功能，具有掉电后参数保存功能</w:t>
      </w:r>
      <w:r>
        <w:rPr>
          <w:rFonts w:hint="eastAsia" w:hAnsi="宋体" w:cs="宋体"/>
          <w:color w:val="auto"/>
          <w:kern w:val="2"/>
          <w:sz w:val="24"/>
          <w:szCs w:val="24"/>
          <w:highlight w:val="none"/>
          <w:lang w:eastAsia="zh-CN"/>
        </w:rPr>
        <w:t>，</w:t>
      </w:r>
      <w:r>
        <w:rPr>
          <w:rFonts w:hint="eastAsia" w:hAnsi="宋体" w:cs="宋体"/>
          <w:color w:val="auto"/>
          <w:kern w:val="2"/>
          <w:sz w:val="24"/>
          <w:szCs w:val="24"/>
          <w:highlight w:val="none"/>
        </w:rPr>
        <w:t>可保存分合闸配置数据、开关设备实时位置信息等，恢复供电后能够重新获取到上述参数并能恢复至断电前的状态，通、断电时继电器不应误发信号。</w:t>
      </w:r>
    </w:p>
    <w:p>
      <w:pPr>
        <w:pStyle w:val="48"/>
        <w:numPr>
          <w:ilvl w:val="0"/>
          <w:numId w:val="4"/>
        </w:numPr>
        <w:tabs>
          <w:tab w:val="center" w:pos="851"/>
          <w:tab w:val="right" w:leader="dot" w:pos="9298"/>
        </w:tabs>
        <w:spacing w:line="360" w:lineRule="auto"/>
        <w:ind w:firstLineChars="0"/>
        <w:rPr>
          <w:rFonts w:hAnsi="宋体" w:cs="宋体"/>
          <w:color w:val="auto"/>
          <w:kern w:val="2"/>
          <w:sz w:val="24"/>
          <w:szCs w:val="24"/>
          <w:highlight w:val="none"/>
        </w:rPr>
      </w:pPr>
      <w:r>
        <w:rPr>
          <w:rFonts w:hint="eastAsia" w:hAnsi="宋体" w:cs="宋体"/>
          <w:color w:val="auto"/>
          <w:kern w:val="2"/>
          <w:sz w:val="24"/>
          <w:szCs w:val="24"/>
          <w:highlight w:val="none"/>
          <w:lang w:val="en-US" w:eastAsia="zh-CN"/>
        </w:rPr>
        <w:t>信号</w:t>
      </w:r>
      <w:r>
        <w:rPr>
          <w:rFonts w:hint="eastAsia" w:hAnsi="宋体" w:cs="宋体"/>
          <w:color w:val="auto"/>
          <w:kern w:val="2"/>
          <w:sz w:val="24"/>
          <w:szCs w:val="24"/>
          <w:highlight w:val="none"/>
        </w:rPr>
        <w:t>接收装置应设置就地调试口，能够进行现场</w:t>
      </w:r>
      <w:r>
        <w:rPr>
          <w:rFonts w:hint="eastAsia" w:hAnsi="宋体" w:cs="宋体"/>
          <w:color w:val="auto"/>
          <w:kern w:val="2"/>
          <w:sz w:val="24"/>
          <w:szCs w:val="24"/>
          <w:highlight w:val="none"/>
          <w:lang w:val="en-US" w:eastAsia="zh-CN"/>
        </w:rPr>
        <w:t>调试</w:t>
      </w:r>
      <w:r>
        <w:rPr>
          <w:rFonts w:hint="eastAsia" w:hAnsi="宋体" w:cs="宋体"/>
          <w:color w:val="auto"/>
          <w:kern w:val="2"/>
          <w:sz w:val="24"/>
          <w:szCs w:val="24"/>
          <w:highlight w:val="none"/>
        </w:rPr>
        <w:t>；</w:t>
      </w:r>
    </w:p>
    <w:p>
      <w:pPr>
        <w:pStyle w:val="49"/>
        <w:widowControl/>
        <w:numPr>
          <w:ilvl w:val="0"/>
          <w:numId w:val="4"/>
        </w:numPr>
        <w:spacing w:line="360" w:lineRule="auto"/>
        <w:ind w:left="780" w:leftChars="0" w:hanging="360" w:firstLineChars="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针对每组隔离开关，接收装置输出2路接点信号，用于指示隔离开关本体分合闸位置，隔离开关分闸到位时，其分位接点闭合，合位接点断开；隔离开关合闸到位时，其合位接点闭合，分位接点断开；分闸异常时，分位接点和合位接点均断开；合闸异常时，分位接点和合位接点均闭合；</w:t>
      </w:r>
    </w:p>
    <w:p>
      <w:pPr>
        <w:pStyle w:val="49"/>
        <w:widowControl/>
        <w:numPr>
          <w:ilvl w:val="0"/>
          <w:numId w:val="4"/>
        </w:numPr>
        <w:spacing w:line="360" w:lineRule="auto"/>
        <w:ind w:left="780" w:leftChars="0" w:hanging="360" w:firstLineChars="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接收装置安装在对应间隔汇控柜内。</w:t>
      </w:r>
    </w:p>
    <w:bookmarkEnd w:id="54"/>
    <w:bookmarkEnd w:id="55"/>
    <w:bookmarkEnd w:id="56"/>
    <w:bookmarkEnd w:id="57"/>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2"/>
        <w:rPr>
          <w:rFonts w:hint="eastAsia" w:ascii="宋体" w:hAnsi="宋体" w:eastAsia="宋体" w:cs="宋体"/>
          <w:color w:val="auto"/>
          <w:sz w:val="24"/>
          <w:szCs w:val="24"/>
          <w:highlight w:val="none"/>
          <w:lang w:val="en-US" w:eastAsia="zh-CN"/>
        </w:rPr>
      </w:pPr>
      <w:bookmarkStart w:id="59" w:name="_Toc7718"/>
      <w:bookmarkStart w:id="60" w:name="_Toc23542"/>
      <w:bookmarkStart w:id="61" w:name="_Toc25549"/>
      <w:bookmarkStart w:id="62" w:name="_Toc268531698"/>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.3 基本性能要求</w:t>
      </w:r>
      <w:bookmarkEnd w:id="59"/>
      <w:bookmarkEnd w:id="60"/>
      <w:bookmarkEnd w:id="61"/>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 绝缘电阻</w:t>
      </w:r>
      <w:bookmarkEnd w:id="62"/>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绝缘电阻要求见表1。</w:t>
      </w:r>
    </w:p>
    <w:p>
      <w:pPr>
        <w:spacing w:line="360" w:lineRule="auto"/>
        <w:ind w:firstLine="420" w:firstLineChars="200"/>
        <w:rPr>
          <w:color w:val="auto"/>
          <w:highlight w:val="none"/>
        </w:rPr>
      </w:pPr>
    </w:p>
    <w:p>
      <w:pPr>
        <w:pStyle w:val="50"/>
        <w:spacing w:beforeLines="0" w:afterLines="0"/>
        <w:ind w:left="0"/>
        <w:rPr>
          <w:rFonts w:ascii="Times New Roman"/>
          <w:color w:val="auto"/>
          <w:highlight w:val="none"/>
        </w:rPr>
      </w:pPr>
      <w:r>
        <w:rPr>
          <w:rFonts w:hint="eastAsia" w:ascii="Times New Roman"/>
          <w:color w:val="auto"/>
          <w:highlight w:val="none"/>
          <w:lang w:val="en-US" w:eastAsia="zh-CN"/>
        </w:rPr>
        <w:t xml:space="preserve">表1 </w:t>
      </w:r>
      <w:r>
        <w:rPr>
          <w:rFonts w:hint="eastAsia" w:ascii="Times New Roman"/>
          <w:color w:val="auto"/>
          <w:highlight w:val="none"/>
        </w:rPr>
        <w:t>绝缘电阻要求</w:t>
      </w:r>
    </w:p>
    <w:tbl>
      <w:tblPr>
        <w:tblStyle w:val="20"/>
        <w:tblW w:w="6521" w:type="dxa"/>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额定绝缘电压（V）</w:t>
            </w:r>
          </w:p>
        </w:tc>
        <w:tc>
          <w:tcPr>
            <w:tcW w:w="3119"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绝缘电阻要求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≤60</w:t>
            </w:r>
          </w:p>
        </w:tc>
        <w:tc>
          <w:tcPr>
            <w:tcW w:w="3119"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≥500MΩ（用250V兆欧表）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60-250</w:t>
            </w:r>
          </w:p>
        </w:tc>
        <w:tc>
          <w:tcPr>
            <w:tcW w:w="3119"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≥500MΩ（用500V兆欧表）</w:t>
            </w:r>
          </w:p>
        </w:tc>
      </w:tr>
    </w:tbl>
    <w:p>
      <w:pPr>
        <w:pStyle w:val="48"/>
        <w:tabs>
          <w:tab w:val="center" w:pos="4201"/>
          <w:tab w:val="right" w:leader="dot" w:pos="9298"/>
        </w:tabs>
        <w:ind w:firstLineChars="0"/>
        <w:rPr>
          <w:color w:val="auto"/>
          <w:highlight w:val="none"/>
        </w:rPr>
      </w:pP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lang w:val="en-US" w:eastAsia="zh-CN"/>
        </w:rPr>
      </w:pPr>
      <w:bookmarkStart w:id="63" w:name="_Toc268531699"/>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.3.2 介质强度</w:t>
      </w:r>
      <w:bookmarkEnd w:id="63"/>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在正常试验大气条件下，</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应能承受频率为50Hz，历时1min的工频耐压试验而无击穿闪络及元件损坏现象。也可以采用直流试验压电，其值应为规定的工频交流试验电压值的1.4倍。工频交流试验电压值按表2规定进行选择。</w:t>
      </w:r>
    </w:p>
    <w:p>
      <w:pPr>
        <w:pStyle w:val="50"/>
        <w:spacing w:beforeLines="0" w:afterLines="0"/>
        <w:ind w:left="0"/>
        <w:rPr>
          <w:color w:val="auto"/>
          <w:highlight w:val="none"/>
        </w:rPr>
      </w:pPr>
      <w:r>
        <w:rPr>
          <w:rFonts w:hint="eastAsia"/>
          <w:color w:val="auto"/>
          <w:highlight w:val="none"/>
          <w:lang w:val="en-US" w:eastAsia="zh-CN"/>
        </w:rPr>
        <w:t xml:space="preserve">表2 </w:t>
      </w:r>
      <w:r>
        <w:rPr>
          <w:rFonts w:hint="eastAsia"/>
          <w:color w:val="auto"/>
          <w:highlight w:val="none"/>
        </w:rPr>
        <w:t>各回路试验电压要求</w:t>
      </w:r>
    </w:p>
    <w:tbl>
      <w:tblPr>
        <w:tblStyle w:val="20"/>
        <w:tblW w:w="6237" w:type="dxa"/>
        <w:tblInd w:w="15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额定工作电压（Ur）</w:t>
            </w:r>
          </w:p>
        </w:tc>
        <w:tc>
          <w:tcPr>
            <w:tcW w:w="3123"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交流试验电压有效值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≤60</w:t>
            </w:r>
          </w:p>
        </w:tc>
        <w:tc>
          <w:tcPr>
            <w:tcW w:w="3123"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0.5kV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60-250</w:t>
            </w:r>
          </w:p>
        </w:tc>
        <w:tc>
          <w:tcPr>
            <w:tcW w:w="3123" w:type="dxa"/>
            <w:noWrap w:val="0"/>
            <w:vAlign w:val="top"/>
          </w:tcPr>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0" w:firstLineChars="0"/>
              <w:jc w:val="center"/>
              <w:textAlignment w:val="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2kV</w:t>
            </w:r>
          </w:p>
        </w:tc>
      </w:tr>
    </w:tbl>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.3.3 检测范围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的检测范围应满足如下条件：</w:t>
      </w:r>
    </w:p>
    <w:p>
      <w:pPr>
        <w:pStyle w:val="48"/>
        <w:numPr>
          <w:ilvl w:val="0"/>
          <w:numId w:val="5"/>
        </w:numPr>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应在开关设备触头合/分闸行程终止位置的±3%及以内准确输出。</w:t>
      </w:r>
    </w:p>
    <w:p>
      <w:pPr>
        <w:pStyle w:val="48"/>
        <w:numPr>
          <w:ilvl w:val="0"/>
          <w:numId w:val="5"/>
        </w:numPr>
        <w:tabs>
          <w:tab w:val="center" w:pos="4201"/>
          <w:tab w:val="right" w:leader="dot" w:pos="9298"/>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行程偏差小于</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mm或角度偏差小于</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.3.4 变位响应时间</w:t>
      </w:r>
    </w:p>
    <w:p>
      <w:pPr>
        <w:pStyle w:val="48"/>
        <w:tabs>
          <w:tab w:val="center" w:pos="4201"/>
          <w:tab w:val="right" w:leader="dot" w:pos="9298"/>
        </w:tabs>
        <w:spacing w:line="360" w:lineRule="auto"/>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辅助开关位置信号与</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位置信号之间时间差的最大值：＜1s。</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.3.5第三方检测要求※</w:t>
      </w:r>
    </w:p>
    <w:p>
      <w:pPr>
        <w:widowControl/>
        <w:numPr>
          <w:ilvl w:val="0"/>
          <w:numId w:val="0"/>
        </w:numPr>
        <w:spacing w:line="360" w:lineRule="auto"/>
        <w:ind w:firstLine="420" w:firstLineChars="0"/>
        <w:rPr>
          <w:rFonts w:hint="eastAsia" w:ascii="宋体" w:hAnsi="宋体" w:cs="黑体"/>
          <w:color w:val="auto"/>
          <w:szCs w:val="21"/>
          <w:highlight w:val="none"/>
          <w:lang w:val="en-US" w:eastAsia="zh-CN"/>
        </w:rPr>
      </w:pPr>
      <w:r>
        <w:rPr>
          <w:rFonts w:hint="eastAsia" w:ascii="宋体" w:hAnsi="宋体" w:eastAsia="宋体" w:cs="宋体"/>
          <w:color w:val="auto"/>
          <w:sz w:val="24"/>
          <w:szCs w:val="24"/>
          <w:highlight w:val="none"/>
        </w:rPr>
        <w:t>投标方应</w:t>
      </w:r>
      <w:r>
        <w:rPr>
          <w:rFonts w:hint="eastAsia" w:ascii="宋体" w:hAnsi="宋体" w:eastAsia="宋体" w:cs="宋体"/>
          <w:color w:val="auto"/>
          <w:sz w:val="24"/>
          <w:szCs w:val="24"/>
          <w:highlight w:val="none"/>
          <w:lang w:val="en-US" w:eastAsia="zh-CN"/>
        </w:rPr>
        <w:t>在在具有资质的第三方试验检测机构完成环境试验、电磁兼容试验及可靠性试验，试验结果应满足招标规范的技术要求。</w:t>
      </w:r>
      <w:r>
        <w:rPr>
          <w:rFonts w:hint="eastAsia" w:ascii="宋体" w:hAnsi="宋体" w:eastAsia="宋体" w:cs="宋体"/>
          <w:color w:val="auto"/>
          <w:sz w:val="24"/>
          <w:szCs w:val="24"/>
          <w:highlight w:val="none"/>
        </w:rPr>
        <w:t>第三方检测是指制造厂家将装置送交至第三方检测单位进行检测，第三方检测单位应具有CNAS或CMA认证资质。在CNAS或CMA认证范围中的功能，应出具加盖检测机构公章且带有CNAS或CMA认证标识的第三方检测报告</w:t>
      </w:r>
      <w:r>
        <w:rPr>
          <w:rFonts w:hint="eastAsia" w:ascii="宋体" w:hAnsi="宋体" w:cs="黑体"/>
          <w:color w:val="auto"/>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2"/>
        <w:rPr>
          <w:rFonts w:hint="eastAsia" w:ascii="宋体" w:hAnsi="宋体" w:eastAsia="宋体" w:cs="宋体"/>
          <w:color w:val="auto"/>
          <w:sz w:val="24"/>
          <w:szCs w:val="24"/>
          <w:highlight w:val="none"/>
          <w:lang w:val="en-US" w:eastAsia="zh-CN"/>
        </w:rPr>
      </w:pPr>
      <w:bookmarkStart w:id="64" w:name="_Toc13790"/>
      <w:bookmarkStart w:id="65" w:name="_Toc20771"/>
      <w:bookmarkStart w:id="66" w:name="_Toc5491"/>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.4  环境适应性要求</w:t>
      </w:r>
      <w:bookmarkEnd w:id="64"/>
      <w:bookmarkEnd w:id="65"/>
      <w:bookmarkEnd w:id="66"/>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4.3</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.1 低温</w:t>
      </w:r>
    </w:p>
    <w:p>
      <w:pPr>
        <w:pStyle w:val="48"/>
        <w:tabs>
          <w:tab w:val="center" w:pos="4201"/>
          <w:tab w:val="right" w:leader="dot" w:pos="9298"/>
        </w:tabs>
        <w:spacing w:line="360" w:lineRule="auto"/>
        <w:ind w:firstLine="484" w:firstLineChars="202"/>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b w:val="0"/>
          <w:bCs w:val="0"/>
          <w:color w:val="auto"/>
          <w:sz w:val="24"/>
          <w:szCs w:val="24"/>
          <w:highlight w:val="none"/>
        </w:rPr>
        <w:t>应能够承受GB/T 2423.1-2008规定的低温试验，试验温度为-40</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rPr>
        <w:t>，试验时间2h，试验期间及试验后磁感应装置应能正常工作。</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高温</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应能够承受GB/T 2423.2-2008规定的高温试验，试验温度为+70℃，试验时间2h，试验期间及试验后</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应能正常工作。</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 恒定湿热</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应能承受GB/T 2423.3-2016规定的恒定湿热试验。试验温度为+40℃±2℃、相对湿度(93±3)％，试验持续时间为48h，试验期间及试验后</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应能正常工作。</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.4 交变湿热</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应能承受GB/T 2423.4-2008规定的交变湿热试验，试验持续时间为48h，试验期间及试验后</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应能正常工作。</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.5 盐雾</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应能承受GB/T 10125-2012规定的盐雾试验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中性48小时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，试验期间及试验后磁感应装置应能正常工作。</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.6 覆冰</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应带开关设备机构进行覆冰试验，</w:t>
      </w:r>
      <w:r>
        <w:rPr>
          <w:rFonts w:hint="eastAsia" w:ascii="宋体" w:hAnsi="宋体" w:eastAsia="宋体" w:cs="宋体"/>
          <w:color w:val="auto"/>
          <w:sz w:val="24"/>
          <w:szCs w:val="24"/>
          <w:highlight w:val="none"/>
          <w:lang w:val="en-US" w:eastAsia="zh-CN"/>
        </w:rPr>
        <w:t>覆冰厚度20mm，</w:t>
      </w:r>
      <w:r>
        <w:rPr>
          <w:rFonts w:hint="eastAsia" w:ascii="宋体" w:hAnsi="宋体" w:eastAsia="宋体" w:cs="宋体"/>
          <w:color w:val="auto"/>
          <w:sz w:val="24"/>
          <w:szCs w:val="24"/>
          <w:highlight w:val="none"/>
        </w:rPr>
        <w:t>覆冰后，开关刀闸等应运转灵活、无迟滞现象，</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应运行正常。</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2"/>
        <w:rPr>
          <w:rFonts w:hint="eastAsia" w:ascii="宋体" w:hAnsi="宋体" w:eastAsia="宋体" w:cs="宋体"/>
          <w:color w:val="auto"/>
          <w:sz w:val="24"/>
          <w:szCs w:val="24"/>
          <w:highlight w:val="none"/>
        </w:rPr>
      </w:pPr>
      <w:bookmarkStart w:id="67" w:name="_Toc268531702"/>
      <w:bookmarkStart w:id="68" w:name="_Toc268531734"/>
      <w:bookmarkStart w:id="69" w:name="_Toc271031714"/>
      <w:bookmarkStart w:id="70" w:name="_Toc22188"/>
      <w:bookmarkStart w:id="71" w:name="_Toc6126"/>
      <w:bookmarkStart w:id="72" w:name="_Toc13665"/>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机械性能</w:t>
      </w:r>
      <w:bookmarkEnd w:id="67"/>
      <w:bookmarkEnd w:id="68"/>
      <w:bookmarkEnd w:id="69"/>
      <w:r>
        <w:rPr>
          <w:rFonts w:hint="eastAsia" w:ascii="宋体" w:hAnsi="宋体" w:eastAsia="宋体" w:cs="宋体"/>
          <w:color w:val="auto"/>
          <w:sz w:val="24"/>
          <w:szCs w:val="24"/>
          <w:highlight w:val="none"/>
        </w:rPr>
        <w:t>要求</w:t>
      </w:r>
      <w:bookmarkEnd w:id="70"/>
      <w:bookmarkEnd w:id="71"/>
      <w:bookmarkEnd w:id="72"/>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 振动(正弦)</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4"/>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.1.1 振动响应</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按GB/T 11287-2000中的规定和方法进行，试验后，</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不应发生紧固件松动、机械损坏等现象。</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4"/>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.1.2 振动耐久</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按GB/T 11287-2000中的规定和方法进行，试验后，</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不应发生紧固件松动、机械损坏等现象。</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 冲击</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4"/>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.2.1 冲击响应</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按GB/T 14537-1993中的规定和方法进行，试验后，</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不应发生紧固件松动、机械损坏等现象。</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4"/>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.2.2 冲击耐久</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按GB/T 14537-1993的规定和方法进行，试验后，</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不应发生紧固件松动、机械损坏等现象。</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.3 碰撞</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按GB/T 14537-1993的规定和方法进行，试验后，</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不应发生紧固件松动、机械损坏等现象。</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.4 加速老化</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按GB/T 34986-2017中所规定的定量加速试验老化方法进行试验，评估结果应满足不小于</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年的使用要求。</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.5 机械操作</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机械操作试验后，</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的信号应指示正确，并满足</w:t>
      </w:r>
      <w:r>
        <w:rPr>
          <w:rFonts w:hint="eastAsia" w:ascii="宋体" w:hAnsi="宋体" w:eastAsia="宋体" w:cs="宋体"/>
          <w:color w:val="auto"/>
          <w:sz w:val="24"/>
          <w:szCs w:val="24"/>
          <w:highlight w:val="none"/>
          <w:lang w:eastAsia="zh-CN"/>
        </w:rPr>
        <w:t>4.</w:t>
      </w:r>
      <w:r>
        <w:rPr>
          <w:rFonts w:hint="eastAsia"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.3.3</w:t>
      </w:r>
      <w:r>
        <w:rPr>
          <w:rFonts w:hint="eastAsia" w:ascii="宋体" w:hAnsi="宋体" w:eastAsia="宋体" w:cs="宋体"/>
          <w:color w:val="auto"/>
          <w:sz w:val="24"/>
          <w:szCs w:val="24"/>
          <w:highlight w:val="none"/>
        </w:rPr>
        <w:t>检测范围要求和</w:t>
      </w:r>
      <w:r>
        <w:rPr>
          <w:rFonts w:hint="eastAsia"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.4变位响应时间要求。</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3"/>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.6 机械寿命</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机械寿命试验应满足操作次数不少于</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000次，试验过程及试验后应无电气或机械故障，并满足</w:t>
      </w:r>
      <w:r>
        <w:rPr>
          <w:rFonts w:hint="eastAsia"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.3检测范围要求。过程中本体如出现标准中不允许的机械寿命失败现象，如更换元件等，应如实记录。</w:t>
      </w:r>
    </w:p>
    <w:p>
      <w:pPr>
        <w:keepNext w:val="0"/>
        <w:keepLines w:val="0"/>
        <w:pageBreakBefore w:val="0"/>
        <w:widowControl w:val="0"/>
        <w:kinsoku/>
        <w:wordWrap/>
        <w:overflowPunct/>
        <w:topLinePunct w:val="0"/>
        <w:autoSpaceDE/>
        <w:autoSpaceDN/>
        <w:bidi w:val="0"/>
        <w:adjustRightInd/>
        <w:snapToGrid/>
        <w:spacing w:beforeLines="50" w:afterLines="50"/>
        <w:ind w:firstLine="480" w:firstLineChars="200"/>
        <w:textAlignment w:val="auto"/>
        <w:outlineLvl w:val="2"/>
        <w:rPr>
          <w:rFonts w:hint="eastAsia" w:ascii="宋体" w:hAnsi="宋体" w:eastAsia="宋体" w:cs="宋体"/>
          <w:color w:val="auto"/>
          <w:sz w:val="24"/>
          <w:szCs w:val="24"/>
          <w:highlight w:val="none"/>
        </w:rPr>
      </w:pPr>
      <w:bookmarkStart w:id="73" w:name="_Toc271031715"/>
      <w:bookmarkStart w:id="74" w:name="_Toc11667"/>
      <w:bookmarkStart w:id="75" w:name="_Toc15399"/>
      <w:bookmarkStart w:id="76" w:name="_Toc268531706"/>
      <w:bookmarkStart w:id="77" w:name="_Toc23939"/>
      <w:bookmarkStart w:id="78" w:name="_Toc268531735"/>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lang w:val="en-US" w:eastAsia="zh-CN"/>
        </w:rPr>
        <w:t xml:space="preserve">.6 </w:t>
      </w:r>
      <w:r>
        <w:rPr>
          <w:rFonts w:hint="eastAsia" w:ascii="宋体" w:hAnsi="宋体" w:eastAsia="宋体" w:cs="宋体"/>
          <w:color w:val="auto"/>
          <w:sz w:val="24"/>
          <w:szCs w:val="24"/>
          <w:highlight w:val="none"/>
        </w:rPr>
        <w:t>电磁兼容</w:t>
      </w:r>
      <w:bookmarkEnd w:id="73"/>
      <w:bookmarkEnd w:id="74"/>
      <w:bookmarkEnd w:id="75"/>
      <w:bookmarkEnd w:id="76"/>
      <w:bookmarkEnd w:id="77"/>
      <w:bookmarkEnd w:id="78"/>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应采取必要的电磁兼容性措施，不带电金属的部分应在电气上连成一体。磁感应装置的抗扰度应符合表3的要求。</w:t>
      </w:r>
    </w:p>
    <w:p>
      <w:pPr>
        <w:spacing w:before="183" w:line="230" w:lineRule="auto"/>
        <w:ind w:firstLine="3530"/>
        <w:rPr>
          <w:rFonts w:ascii="黑体" w:hAnsi="黑体" w:eastAsia="黑体" w:cs="黑体"/>
          <w:color w:val="auto"/>
          <w:sz w:val="20"/>
          <w:szCs w:val="20"/>
          <w:highlight w:val="none"/>
        </w:rPr>
      </w:pPr>
      <w:r>
        <w:rPr>
          <w:rFonts w:ascii="黑体" w:hAnsi="黑体" w:eastAsia="黑体" w:cs="黑体"/>
          <w:color w:val="auto"/>
          <w:spacing w:val="4"/>
          <w:sz w:val="20"/>
          <w:szCs w:val="20"/>
          <w:highlight w:val="none"/>
        </w:rPr>
        <w:t>表</w:t>
      </w:r>
      <w:r>
        <w:rPr>
          <w:rFonts w:eastAsia="黑体"/>
          <w:color w:val="auto"/>
          <w:spacing w:val="4"/>
          <w:sz w:val="20"/>
          <w:szCs w:val="20"/>
          <w:highlight w:val="none"/>
        </w:rPr>
        <w:t>3</w:t>
      </w:r>
      <w:r>
        <w:rPr>
          <w:rFonts w:eastAsia="黑体"/>
          <w:color w:val="auto"/>
          <w:spacing w:val="3"/>
          <w:sz w:val="20"/>
          <w:szCs w:val="20"/>
          <w:highlight w:val="none"/>
        </w:rPr>
        <w:t xml:space="preserve"> </w:t>
      </w:r>
      <w:r>
        <w:rPr>
          <w:rFonts w:hint="eastAsia" w:eastAsia="黑体"/>
          <w:color w:val="auto"/>
          <w:spacing w:val="4"/>
          <w:sz w:val="20"/>
          <w:szCs w:val="20"/>
          <w:highlight w:val="none"/>
        </w:rPr>
        <w:t>电</w:t>
      </w:r>
      <w:r>
        <w:rPr>
          <w:rFonts w:ascii="黑体" w:hAnsi="黑体" w:eastAsia="黑体" w:cs="黑体"/>
          <w:color w:val="auto"/>
          <w:spacing w:val="4"/>
          <w:sz w:val="20"/>
          <w:szCs w:val="20"/>
          <w:highlight w:val="none"/>
        </w:rPr>
        <w:t>磁兼</w:t>
      </w:r>
      <w:r>
        <w:rPr>
          <w:rFonts w:ascii="黑体" w:hAnsi="黑体" w:eastAsia="黑体" w:cs="黑体"/>
          <w:color w:val="auto"/>
          <w:spacing w:val="3"/>
          <w:sz w:val="20"/>
          <w:szCs w:val="20"/>
          <w:highlight w:val="none"/>
        </w:rPr>
        <w:t>容性能要求</w:t>
      </w:r>
    </w:p>
    <w:p>
      <w:pPr>
        <w:spacing w:line="149" w:lineRule="exact"/>
        <w:rPr>
          <w:color w:val="auto"/>
          <w:highlight w:val="none"/>
        </w:rPr>
      </w:pPr>
    </w:p>
    <w:tbl>
      <w:tblPr>
        <w:tblStyle w:val="47"/>
        <w:tblW w:w="91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3"/>
        <w:gridCol w:w="2877"/>
        <w:gridCol w:w="1946"/>
        <w:gridCol w:w="1414"/>
        <w:gridCol w:w="12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 w:hRule="atLeast"/>
        </w:trPr>
        <w:tc>
          <w:tcPr>
            <w:tcW w:w="1723" w:type="dxa"/>
            <w:noWrap w:val="0"/>
            <w:vAlign w:val="top"/>
          </w:tcPr>
          <w:p>
            <w:pPr>
              <w:spacing w:before="30" w:line="228" w:lineRule="auto"/>
              <w:ind w:firstLine="514"/>
              <w:rPr>
                <w:color w:val="auto"/>
                <w:sz w:val="20"/>
                <w:szCs w:val="20"/>
                <w:highlight w:val="none"/>
              </w:rPr>
            </w:pPr>
            <w:r>
              <w:rPr>
                <w:rFonts w:hint="eastAsia"/>
                <w:color w:val="auto"/>
                <w:spacing w:val="6"/>
                <w:sz w:val="20"/>
                <w:szCs w:val="20"/>
                <w:highlight w:val="none"/>
              </w:rPr>
              <w:t>端口</w:t>
            </w:r>
          </w:p>
        </w:tc>
        <w:tc>
          <w:tcPr>
            <w:tcW w:w="2877" w:type="dxa"/>
            <w:noWrap w:val="0"/>
            <w:vAlign w:val="center"/>
          </w:tcPr>
          <w:p>
            <w:pPr>
              <w:ind w:firstLine="793"/>
              <w:rPr>
                <w:color w:val="auto"/>
                <w:sz w:val="20"/>
                <w:szCs w:val="20"/>
                <w:highlight w:val="none"/>
              </w:rPr>
            </w:pPr>
            <w:r>
              <w:rPr>
                <w:rFonts w:hint="eastAsia"/>
                <w:color w:val="auto"/>
                <w:spacing w:val="8"/>
                <w:sz w:val="20"/>
                <w:szCs w:val="20"/>
                <w:highlight w:val="none"/>
              </w:rPr>
              <w:t>试验项目</w:t>
            </w:r>
          </w:p>
        </w:tc>
        <w:tc>
          <w:tcPr>
            <w:tcW w:w="1946" w:type="dxa"/>
            <w:noWrap w:val="0"/>
            <w:vAlign w:val="center"/>
          </w:tcPr>
          <w:p>
            <w:pPr>
              <w:jc w:val="center"/>
              <w:rPr>
                <w:color w:val="auto"/>
                <w:sz w:val="20"/>
                <w:szCs w:val="20"/>
                <w:highlight w:val="none"/>
              </w:rPr>
            </w:pPr>
            <w:r>
              <w:rPr>
                <w:rFonts w:hint="eastAsia"/>
                <w:color w:val="auto"/>
                <w:spacing w:val="8"/>
                <w:sz w:val="20"/>
                <w:szCs w:val="20"/>
                <w:highlight w:val="none"/>
              </w:rPr>
              <w:t>依据标</w:t>
            </w:r>
            <w:r>
              <w:rPr>
                <w:rFonts w:hint="eastAsia"/>
                <w:color w:val="auto"/>
                <w:spacing w:val="7"/>
                <w:sz w:val="20"/>
                <w:szCs w:val="20"/>
                <w:highlight w:val="none"/>
              </w:rPr>
              <w:t>准</w:t>
            </w:r>
          </w:p>
        </w:tc>
        <w:tc>
          <w:tcPr>
            <w:tcW w:w="1414" w:type="dxa"/>
            <w:noWrap w:val="0"/>
            <w:vAlign w:val="center"/>
          </w:tcPr>
          <w:p>
            <w:pPr>
              <w:jc w:val="center"/>
              <w:rPr>
                <w:color w:val="auto"/>
                <w:sz w:val="20"/>
                <w:szCs w:val="20"/>
                <w:highlight w:val="none"/>
              </w:rPr>
            </w:pPr>
            <w:r>
              <w:rPr>
                <w:rFonts w:hint="eastAsia"/>
                <w:color w:val="auto"/>
                <w:spacing w:val="8"/>
                <w:sz w:val="20"/>
                <w:szCs w:val="20"/>
                <w:highlight w:val="none"/>
              </w:rPr>
              <w:t>试验等级</w:t>
            </w:r>
          </w:p>
        </w:tc>
        <w:tc>
          <w:tcPr>
            <w:tcW w:w="1237" w:type="dxa"/>
            <w:noWrap w:val="0"/>
            <w:vAlign w:val="center"/>
          </w:tcPr>
          <w:p>
            <w:pPr>
              <w:jc w:val="center"/>
              <w:rPr>
                <w:color w:val="auto"/>
                <w:sz w:val="20"/>
                <w:szCs w:val="20"/>
                <w:highlight w:val="none"/>
              </w:rPr>
            </w:pPr>
            <w:r>
              <w:rPr>
                <w:rFonts w:hint="eastAsia"/>
                <w:color w:val="auto"/>
                <w:spacing w:val="8"/>
                <w:sz w:val="20"/>
                <w:szCs w:val="20"/>
                <w:highlight w:val="none"/>
              </w:rPr>
              <w:t>性能要求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 w:hRule="atLeast"/>
        </w:trPr>
        <w:tc>
          <w:tcPr>
            <w:tcW w:w="1723" w:type="dxa"/>
            <w:vMerge w:val="restart"/>
            <w:tcBorders>
              <w:bottom w:val="nil"/>
            </w:tcBorders>
            <w:noWrap w:val="0"/>
            <w:vAlign w:val="top"/>
          </w:tcPr>
          <w:p>
            <w:pPr>
              <w:spacing w:line="459" w:lineRule="auto"/>
              <w:rPr>
                <w:color w:val="auto"/>
                <w:sz w:val="24"/>
                <w:szCs w:val="32"/>
                <w:highlight w:val="none"/>
              </w:rPr>
            </w:pPr>
          </w:p>
          <w:p>
            <w:pPr>
              <w:spacing w:before="55" w:line="231" w:lineRule="auto"/>
              <w:ind w:firstLine="517"/>
              <w:rPr>
                <w:color w:val="auto"/>
                <w:sz w:val="20"/>
                <w:szCs w:val="20"/>
                <w:highlight w:val="none"/>
              </w:rPr>
            </w:pPr>
            <w:r>
              <w:rPr>
                <w:rFonts w:hint="eastAsia"/>
                <w:color w:val="auto"/>
                <w:spacing w:val="5"/>
                <w:sz w:val="20"/>
                <w:szCs w:val="20"/>
                <w:highlight w:val="none"/>
              </w:rPr>
              <w:t>外</w:t>
            </w:r>
            <w:r>
              <w:rPr>
                <w:rFonts w:hint="eastAsia"/>
                <w:color w:val="auto"/>
                <w:spacing w:val="4"/>
                <w:sz w:val="20"/>
                <w:szCs w:val="20"/>
                <w:highlight w:val="none"/>
              </w:rPr>
              <w:t>壳</w:t>
            </w:r>
          </w:p>
        </w:tc>
        <w:tc>
          <w:tcPr>
            <w:tcW w:w="2877" w:type="dxa"/>
            <w:noWrap w:val="0"/>
            <w:vAlign w:val="center"/>
          </w:tcPr>
          <w:p>
            <w:pPr>
              <w:jc w:val="center"/>
              <w:rPr>
                <w:color w:val="auto"/>
                <w:sz w:val="20"/>
                <w:szCs w:val="20"/>
                <w:highlight w:val="none"/>
              </w:rPr>
            </w:pPr>
            <w:r>
              <w:rPr>
                <w:rFonts w:hint="eastAsia"/>
                <w:color w:val="auto"/>
                <w:spacing w:val="8"/>
                <w:sz w:val="20"/>
                <w:szCs w:val="20"/>
                <w:highlight w:val="none"/>
              </w:rPr>
              <w:t>静</w:t>
            </w:r>
            <w:r>
              <w:rPr>
                <w:rFonts w:hint="eastAsia"/>
                <w:color w:val="auto"/>
                <w:spacing w:val="7"/>
                <w:sz w:val="20"/>
                <w:szCs w:val="20"/>
                <w:highlight w:val="none"/>
              </w:rPr>
              <w:t>电放电（</w:t>
            </w:r>
            <w:r>
              <w:rPr>
                <w:color w:val="auto"/>
                <w:spacing w:val="4"/>
                <w:sz w:val="20"/>
                <w:szCs w:val="20"/>
                <w:highlight w:val="none"/>
              </w:rPr>
              <w:t>ESD</w:t>
            </w:r>
            <w:r>
              <w:rPr>
                <w:rFonts w:hint="eastAsia"/>
                <w:color w:val="auto"/>
                <w:spacing w:val="9"/>
                <w:sz w:val="20"/>
                <w:szCs w:val="20"/>
                <w:highlight w:val="none"/>
              </w:rPr>
              <w:t>）</w:t>
            </w:r>
          </w:p>
        </w:tc>
        <w:tc>
          <w:tcPr>
            <w:tcW w:w="1946" w:type="dxa"/>
            <w:noWrap w:val="0"/>
            <w:vAlign w:val="center"/>
          </w:tcPr>
          <w:p>
            <w:pPr>
              <w:rPr>
                <w:color w:val="auto"/>
                <w:sz w:val="18"/>
                <w:szCs w:val="21"/>
                <w:highlight w:val="none"/>
              </w:rPr>
            </w:pPr>
            <w:r>
              <w:rPr>
                <w:color w:val="auto"/>
                <w:sz w:val="18"/>
                <w:szCs w:val="21"/>
                <w:highlight w:val="none"/>
              </w:rPr>
              <w:t>GB/T 17626.2-2018</w:t>
            </w:r>
          </w:p>
        </w:tc>
        <w:tc>
          <w:tcPr>
            <w:tcW w:w="1414" w:type="dxa"/>
            <w:noWrap w:val="0"/>
            <w:vAlign w:val="center"/>
          </w:tcPr>
          <w:p>
            <w:pPr>
              <w:jc w:val="center"/>
              <w:rPr>
                <w:color w:val="auto"/>
                <w:sz w:val="20"/>
                <w:szCs w:val="20"/>
                <w:highlight w:val="none"/>
              </w:rPr>
            </w:pPr>
            <w:r>
              <w:rPr>
                <w:color w:val="auto"/>
                <w:spacing w:val="-3"/>
                <w:sz w:val="20"/>
                <w:szCs w:val="20"/>
                <w:highlight w:val="none"/>
              </w:rPr>
              <w:t>4</w:t>
            </w:r>
            <w:r>
              <w:rPr>
                <w:color w:val="auto"/>
                <w:spacing w:val="-24"/>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B</w:t>
            </w:r>
            <w:r>
              <w:rPr>
                <w:color w:val="auto"/>
                <w:spacing w:val="-26"/>
                <w:sz w:val="20"/>
                <w:szCs w:val="20"/>
                <w:highlight w:val="none"/>
              </w:rPr>
              <w:t xml:space="preserve"> </w:t>
            </w:r>
            <w:r>
              <w:rPr>
                <w:rFonts w:hint="eastAsia"/>
                <w:color w:val="auto"/>
                <w:spacing w:val="-6"/>
                <w:sz w:val="20"/>
                <w:szCs w:val="20"/>
                <w:highlight w:val="none"/>
              </w:rPr>
              <w:t>或</w:t>
            </w:r>
            <w:r>
              <w:rPr>
                <w:color w:val="auto"/>
                <w:spacing w:val="-25"/>
                <w:sz w:val="20"/>
                <w:szCs w:val="20"/>
                <w:highlight w:val="none"/>
              </w:rPr>
              <w:t xml:space="preserve"> </w:t>
            </w: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 w:hRule="atLeast"/>
        </w:trPr>
        <w:tc>
          <w:tcPr>
            <w:tcW w:w="1723" w:type="dxa"/>
            <w:vMerge w:val="continue"/>
            <w:tcBorders>
              <w:top w:val="nil"/>
              <w:bottom w:val="nil"/>
            </w:tcBorders>
            <w:noWrap w:val="0"/>
            <w:vAlign w:val="top"/>
          </w:tcPr>
          <w:p>
            <w:pPr>
              <w:rPr>
                <w:color w:val="auto"/>
                <w:sz w:val="24"/>
                <w:szCs w:val="32"/>
                <w:highlight w:val="none"/>
              </w:rPr>
            </w:pPr>
          </w:p>
        </w:tc>
        <w:tc>
          <w:tcPr>
            <w:tcW w:w="2877" w:type="dxa"/>
            <w:noWrap w:val="0"/>
            <w:vAlign w:val="center"/>
          </w:tcPr>
          <w:p>
            <w:pPr>
              <w:jc w:val="center"/>
              <w:rPr>
                <w:color w:val="auto"/>
                <w:sz w:val="20"/>
                <w:szCs w:val="20"/>
                <w:highlight w:val="none"/>
              </w:rPr>
            </w:pPr>
            <w:r>
              <w:rPr>
                <w:rFonts w:hint="eastAsia"/>
                <w:color w:val="auto"/>
                <w:spacing w:val="9"/>
                <w:sz w:val="20"/>
                <w:szCs w:val="20"/>
                <w:highlight w:val="none"/>
              </w:rPr>
              <w:t>射频电磁场辐</w:t>
            </w:r>
            <w:r>
              <w:rPr>
                <w:rFonts w:hint="eastAsia"/>
                <w:color w:val="auto"/>
                <w:spacing w:val="8"/>
                <w:sz w:val="20"/>
                <w:szCs w:val="20"/>
                <w:highlight w:val="none"/>
              </w:rPr>
              <w:t>射</w:t>
            </w:r>
          </w:p>
        </w:tc>
        <w:tc>
          <w:tcPr>
            <w:tcW w:w="1946" w:type="dxa"/>
            <w:noWrap w:val="0"/>
            <w:vAlign w:val="center"/>
          </w:tcPr>
          <w:p>
            <w:pPr>
              <w:rPr>
                <w:color w:val="auto"/>
                <w:sz w:val="18"/>
                <w:szCs w:val="21"/>
                <w:highlight w:val="none"/>
              </w:rPr>
            </w:pPr>
            <w:r>
              <w:rPr>
                <w:color w:val="auto"/>
                <w:sz w:val="18"/>
                <w:szCs w:val="21"/>
                <w:highlight w:val="none"/>
              </w:rPr>
              <w:t>GB/T 17626.3-2016</w:t>
            </w:r>
          </w:p>
        </w:tc>
        <w:tc>
          <w:tcPr>
            <w:tcW w:w="1414" w:type="dxa"/>
            <w:noWrap w:val="0"/>
            <w:vAlign w:val="center"/>
          </w:tcPr>
          <w:p>
            <w:pPr>
              <w:jc w:val="center"/>
              <w:rPr>
                <w:color w:val="auto"/>
                <w:sz w:val="20"/>
                <w:szCs w:val="20"/>
                <w:highlight w:val="none"/>
              </w:rPr>
            </w:pPr>
            <w:r>
              <w:rPr>
                <w:color w:val="auto"/>
                <w:spacing w:val="-3"/>
                <w:sz w:val="20"/>
                <w:szCs w:val="20"/>
                <w:highlight w:val="none"/>
              </w:rPr>
              <w:t>3</w:t>
            </w:r>
            <w:r>
              <w:rPr>
                <w:color w:val="auto"/>
                <w:spacing w:val="-29"/>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 w:hRule="atLeast"/>
        </w:trPr>
        <w:tc>
          <w:tcPr>
            <w:tcW w:w="1723" w:type="dxa"/>
            <w:vMerge w:val="continue"/>
            <w:tcBorders>
              <w:top w:val="nil"/>
              <w:bottom w:val="nil"/>
            </w:tcBorders>
            <w:noWrap w:val="0"/>
            <w:vAlign w:val="top"/>
          </w:tcPr>
          <w:p>
            <w:pPr>
              <w:rPr>
                <w:color w:val="auto"/>
                <w:sz w:val="24"/>
                <w:szCs w:val="32"/>
                <w:highlight w:val="none"/>
              </w:rPr>
            </w:pPr>
          </w:p>
        </w:tc>
        <w:tc>
          <w:tcPr>
            <w:tcW w:w="2877" w:type="dxa"/>
            <w:noWrap w:val="0"/>
            <w:vAlign w:val="center"/>
          </w:tcPr>
          <w:p>
            <w:pPr>
              <w:jc w:val="center"/>
              <w:rPr>
                <w:color w:val="auto"/>
                <w:sz w:val="20"/>
                <w:szCs w:val="20"/>
                <w:highlight w:val="none"/>
              </w:rPr>
            </w:pPr>
            <w:r>
              <w:rPr>
                <w:rFonts w:hint="eastAsia"/>
                <w:color w:val="auto"/>
                <w:spacing w:val="8"/>
                <w:sz w:val="20"/>
                <w:szCs w:val="20"/>
                <w:highlight w:val="none"/>
              </w:rPr>
              <w:t>工频</w:t>
            </w:r>
            <w:r>
              <w:rPr>
                <w:rFonts w:hint="eastAsia"/>
                <w:color w:val="auto"/>
                <w:spacing w:val="7"/>
                <w:sz w:val="20"/>
                <w:szCs w:val="20"/>
                <w:highlight w:val="none"/>
              </w:rPr>
              <w:t>磁场</w:t>
            </w:r>
          </w:p>
        </w:tc>
        <w:tc>
          <w:tcPr>
            <w:tcW w:w="1946" w:type="dxa"/>
            <w:noWrap w:val="0"/>
            <w:vAlign w:val="center"/>
          </w:tcPr>
          <w:p>
            <w:pPr>
              <w:rPr>
                <w:color w:val="auto"/>
                <w:sz w:val="18"/>
                <w:szCs w:val="21"/>
                <w:highlight w:val="none"/>
              </w:rPr>
            </w:pPr>
            <w:r>
              <w:rPr>
                <w:color w:val="auto"/>
                <w:sz w:val="18"/>
                <w:szCs w:val="21"/>
                <w:highlight w:val="none"/>
              </w:rPr>
              <w:t>GB/T 17626.8-2006</w:t>
            </w:r>
          </w:p>
        </w:tc>
        <w:tc>
          <w:tcPr>
            <w:tcW w:w="1414" w:type="dxa"/>
            <w:noWrap w:val="0"/>
            <w:vAlign w:val="center"/>
          </w:tcPr>
          <w:p>
            <w:pPr>
              <w:jc w:val="center"/>
              <w:rPr>
                <w:color w:val="auto"/>
                <w:sz w:val="20"/>
                <w:szCs w:val="20"/>
                <w:highlight w:val="none"/>
              </w:rPr>
            </w:pPr>
            <w:r>
              <w:rPr>
                <w:color w:val="auto"/>
                <w:spacing w:val="-3"/>
                <w:sz w:val="20"/>
                <w:szCs w:val="20"/>
                <w:highlight w:val="none"/>
              </w:rPr>
              <w:t>5</w:t>
            </w:r>
            <w:r>
              <w:rPr>
                <w:color w:val="auto"/>
                <w:spacing w:val="-29"/>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 w:hRule="atLeast"/>
        </w:trPr>
        <w:tc>
          <w:tcPr>
            <w:tcW w:w="1723" w:type="dxa"/>
            <w:vMerge w:val="continue"/>
            <w:tcBorders>
              <w:top w:val="nil"/>
              <w:bottom w:val="nil"/>
            </w:tcBorders>
            <w:noWrap w:val="0"/>
            <w:vAlign w:val="top"/>
          </w:tcPr>
          <w:p>
            <w:pPr>
              <w:rPr>
                <w:color w:val="auto"/>
                <w:sz w:val="24"/>
                <w:szCs w:val="32"/>
                <w:highlight w:val="none"/>
              </w:rPr>
            </w:pPr>
          </w:p>
        </w:tc>
        <w:tc>
          <w:tcPr>
            <w:tcW w:w="2877" w:type="dxa"/>
            <w:noWrap w:val="0"/>
            <w:vAlign w:val="center"/>
          </w:tcPr>
          <w:p>
            <w:pPr>
              <w:jc w:val="center"/>
              <w:rPr>
                <w:color w:val="auto"/>
                <w:sz w:val="20"/>
                <w:szCs w:val="20"/>
                <w:highlight w:val="none"/>
              </w:rPr>
            </w:pPr>
            <w:r>
              <w:rPr>
                <w:rFonts w:hint="eastAsia"/>
                <w:color w:val="auto"/>
                <w:spacing w:val="8"/>
                <w:sz w:val="20"/>
                <w:szCs w:val="20"/>
                <w:highlight w:val="none"/>
              </w:rPr>
              <w:t>脉冲磁</w:t>
            </w:r>
            <w:r>
              <w:rPr>
                <w:rFonts w:hint="eastAsia"/>
                <w:color w:val="auto"/>
                <w:spacing w:val="7"/>
                <w:sz w:val="20"/>
                <w:szCs w:val="20"/>
                <w:highlight w:val="none"/>
              </w:rPr>
              <w:t>场</w:t>
            </w:r>
          </w:p>
        </w:tc>
        <w:tc>
          <w:tcPr>
            <w:tcW w:w="1946" w:type="dxa"/>
            <w:noWrap w:val="0"/>
            <w:vAlign w:val="center"/>
          </w:tcPr>
          <w:p>
            <w:pPr>
              <w:rPr>
                <w:color w:val="auto"/>
                <w:sz w:val="18"/>
                <w:szCs w:val="21"/>
                <w:highlight w:val="none"/>
              </w:rPr>
            </w:pPr>
            <w:r>
              <w:rPr>
                <w:color w:val="auto"/>
                <w:sz w:val="18"/>
                <w:szCs w:val="21"/>
                <w:highlight w:val="none"/>
              </w:rPr>
              <w:t>GB/T 17626.9-2011</w:t>
            </w:r>
          </w:p>
        </w:tc>
        <w:tc>
          <w:tcPr>
            <w:tcW w:w="1414" w:type="dxa"/>
            <w:noWrap w:val="0"/>
            <w:vAlign w:val="center"/>
          </w:tcPr>
          <w:p>
            <w:pPr>
              <w:jc w:val="center"/>
              <w:rPr>
                <w:color w:val="auto"/>
                <w:sz w:val="20"/>
                <w:szCs w:val="20"/>
                <w:highlight w:val="none"/>
              </w:rPr>
            </w:pPr>
            <w:r>
              <w:rPr>
                <w:color w:val="auto"/>
                <w:spacing w:val="-3"/>
                <w:sz w:val="20"/>
                <w:szCs w:val="20"/>
                <w:highlight w:val="none"/>
              </w:rPr>
              <w:t>5</w:t>
            </w:r>
            <w:r>
              <w:rPr>
                <w:color w:val="auto"/>
                <w:spacing w:val="-29"/>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 w:hRule="atLeast"/>
        </w:trPr>
        <w:tc>
          <w:tcPr>
            <w:tcW w:w="1723" w:type="dxa"/>
            <w:vMerge w:val="continue"/>
            <w:tcBorders>
              <w:top w:val="nil"/>
            </w:tcBorders>
            <w:noWrap w:val="0"/>
            <w:vAlign w:val="top"/>
          </w:tcPr>
          <w:p>
            <w:pPr>
              <w:rPr>
                <w:color w:val="auto"/>
                <w:sz w:val="24"/>
                <w:szCs w:val="32"/>
                <w:highlight w:val="none"/>
              </w:rPr>
            </w:pPr>
          </w:p>
        </w:tc>
        <w:tc>
          <w:tcPr>
            <w:tcW w:w="2877" w:type="dxa"/>
            <w:noWrap w:val="0"/>
            <w:vAlign w:val="center"/>
          </w:tcPr>
          <w:p>
            <w:pPr>
              <w:jc w:val="center"/>
              <w:rPr>
                <w:color w:val="auto"/>
                <w:sz w:val="20"/>
                <w:szCs w:val="20"/>
                <w:highlight w:val="none"/>
              </w:rPr>
            </w:pPr>
            <w:r>
              <w:rPr>
                <w:rFonts w:hint="eastAsia"/>
                <w:color w:val="auto"/>
                <w:spacing w:val="7"/>
                <w:sz w:val="20"/>
                <w:szCs w:val="20"/>
                <w:highlight w:val="none"/>
              </w:rPr>
              <w:t>阻尼振荡磁</w:t>
            </w:r>
            <w:r>
              <w:rPr>
                <w:rFonts w:hint="eastAsia"/>
                <w:color w:val="auto"/>
                <w:spacing w:val="6"/>
                <w:sz w:val="20"/>
                <w:szCs w:val="20"/>
                <w:highlight w:val="none"/>
              </w:rPr>
              <w:t>场</w:t>
            </w:r>
          </w:p>
        </w:tc>
        <w:tc>
          <w:tcPr>
            <w:tcW w:w="1946" w:type="dxa"/>
            <w:noWrap w:val="0"/>
            <w:vAlign w:val="center"/>
          </w:tcPr>
          <w:p>
            <w:pPr>
              <w:rPr>
                <w:color w:val="auto"/>
                <w:sz w:val="18"/>
                <w:szCs w:val="21"/>
                <w:highlight w:val="none"/>
              </w:rPr>
            </w:pPr>
            <w:r>
              <w:rPr>
                <w:color w:val="auto"/>
                <w:sz w:val="18"/>
                <w:szCs w:val="21"/>
                <w:highlight w:val="none"/>
              </w:rPr>
              <w:t>GB/T 17626.10-1998</w:t>
            </w:r>
          </w:p>
        </w:tc>
        <w:tc>
          <w:tcPr>
            <w:tcW w:w="1414" w:type="dxa"/>
            <w:noWrap w:val="0"/>
            <w:vAlign w:val="center"/>
          </w:tcPr>
          <w:p>
            <w:pPr>
              <w:jc w:val="center"/>
              <w:rPr>
                <w:color w:val="auto"/>
                <w:sz w:val="20"/>
                <w:szCs w:val="20"/>
                <w:highlight w:val="none"/>
              </w:rPr>
            </w:pPr>
            <w:r>
              <w:rPr>
                <w:color w:val="auto"/>
                <w:spacing w:val="-3"/>
                <w:sz w:val="20"/>
                <w:szCs w:val="20"/>
                <w:highlight w:val="none"/>
              </w:rPr>
              <w:t>5</w:t>
            </w:r>
            <w:r>
              <w:rPr>
                <w:color w:val="auto"/>
                <w:spacing w:val="-29"/>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 w:hRule="atLeast"/>
        </w:trPr>
        <w:tc>
          <w:tcPr>
            <w:tcW w:w="1723" w:type="dxa"/>
            <w:vMerge w:val="restart"/>
            <w:tcBorders>
              <w:bottom w:val="nil"/>
            </w:tcBorders>
            <w:noWrap w:val="0"/>
            <w:vAlign w:val="top"/>
          </w:tcPr>
          <w:p>
            <w:pPr>
              <w:spacing w:line="338" w:lineRule="auto"/>
              <w:rPr>
                <w:color w:val="auto"/>
                <w:sz w:val="24"/>
                <w:szCs w:val="32"/>
                <w:highlight w:val="none"/>
              </w:rPr>
            </w:pPr>
          </w:p>
          <w:p>
            <w:pPr>
              <w:spacing w:before="56" w:line="232" w:lineRule="auto"/>
              <w:ind w:firstLine="337"/>
              <w:rPr>
                <w:color w:val="auto"/>
                <w:sz w:val="20"/>
                <w:szCs w:val="20"/>
                <w:highlight w:val="none"/>
              </w:rPr>
            </w:pPr>
            <w:r>
              <w:rPr>
                <w:rFonts w:hint="eastAsia"/>
                <w:color w:val="auto"/>
                <w:spacing w:val="8"/>
                <w:sz w:val="20"/>
                <w:szCs w:val="20"/>
                <w:highlight w:val="none"/>
              </w:rPr>
              <w:t>交</w:t>
            </w:r>
            <w:r>
              <w:rPr>
                <w:rFonts w:hint="eastAsia"/>
                <w:color w:val="auto"/>
                <w:spacing w:val="7"/>
                <w:sz w:val="20"/>
                <w:szCs w:val="20"/>
                <w:highlight w:val="none"/>
              </w:rPr>
              <w:t>流电源</w:t>
            </w:r>
          </w:p>
        </w:tc>
        <w:tc>
          <w:tcPr>
            <w:tcW w:w="2877" w:type="dxa"/>
            <w:noWrap w:val="0"/>
            <w:vAlign w:val="center"/>
          </w:tcPr>
          <w:p>
            <w:pPr>
              <w:jc w:val="center"/>
              <w:rPr>
                <w:color w:val="auto"/>
                <w:sz w:val="20"/>
                <w:szCs w:val="20"/>
                <w:highlight w:val="none"/>
              </w:rPr>
            </w:pPr>
            <w:r>
              <w:rPr>
                <w:rFonts w:hint="eastAsia"/>
                <w:color w:val="auto"/>
                <w:spacing w:val="3"/>
                <w:sz w:val="20"/>
                <w:szCs w:val="20"/>
                <w:highlight w:val="none"/>
              </w:rPr>
              <w:t>电压暂</w:t>
            </w:r>
            <w:r>
              <w:rPr>
                <w:rFonts w:hint="eastAsia"/>
                <w:color w:val="auto"/>
                <w:spacing w:val="2"/>
                <w:sz w:val="20"/>
                <w:szCs w:val="20"/>
                <w:highlight w:val="none"/>
              </w:rPr>
              <w:t>降</w:t>
            </w:r>
          </w:p>
        </w:tc>
        <w:tc>
          <w:tcPr>
            <w:tcW w:w="1946" w:type="dxa"/>
            <w:noWrap w:val="0"/>
            <w:vAlign w:val="center"/>
          </w:tcPr>
          <w:p>
            <w:pPr>
              <w:rPr>
                <w:color w:val="auto"/>
                <w:sz w:val="18"/>
                <w:szCs w:val="21"/>
                <w:highlight w:val="none"/>
              </w:rPr>
            </w:pPr>
            <w:r>
              <w:rPr>
                <w:color w:val="auto"/>
                <w:sz w:val="18"/>
                <w:szCs w:val="21"/>
                <w:highlight w:val="none"/>
              </w:rPr>
              <w:t>GB/T 17626.11-2008</w:t>
            </w:r>
          </w:p>
        </w:tc>
        <w:tc>
          <w:tcPr>
            <w:tcW w:w="1414" w:type="dxa"/>
            <w:noWrap w:val="0"/>
            <w:vAlign w:val="center"/>
          </w:tcPr>
          <w:p>
            <w:pPr>
              <w:jc w:val="center"/>
              <w:rPr>
                <w:color w:val="auto"/>
                <w:sz w:val="20"/>
                <w:szCs w:val="20"/>
                <w:highlight w:val="none"/>
              </w:rPr>
            </w:pPr>
            <w:r>
              <w:rPr>
                <w:color w:val="auto"/>
                <w:spacing w:val="-3"/>
                <w:sz w:val="20"/>
                <w:szCs w:val="20"/>
                <w:highlight w:val="none"/>
              </w:rPr>
              <w:t>3</w:t>
            </w:r>
            <w:r>
              <w:rPr>
                <w:color w:val="auto"/>
                <w:spacing w:val="-29"/>
                <w:sz w:val="20"/>
                <w:szCs w:val="20"/>
                <w:highlight w:val="none"/>
              </w:rPr>
              <w:t xml:space="preserve"> </w:t>
            </w:r>
            <w:r>
              <w:rPr>
                <w:rFonts w:hint="eastAsia"/>
                <w:color w:val="auto"/>
                <w:spacing w:val="-5"/>
                <w:sz w:val="20"/>
                <w:szCs w:val="20"/>
                <w:highlight w:val="none"/>
              </w:rPr>
              <w:t>类</w:t>
            </w:r>
          </w:p>
        </w:tc>
        <w:tc>
          <w:tcPr>
            <w:tcW w:w="1237" w:type="dxa"/>
            <w:noWrap w:val="0"/>
            <w:vAlign w:val="center"/>
          </w:tcPr>
          <w:p>
            <w:pPr>
              <w:jc w:val="center"/>
              <w:rPr>
                <w:color w:val="auto"/>
                <w:sz w:val="20"/>
                <w:szCs w:val="20"/>
                <w:highlight w:val="none"/>
              </w:rPr>
            </w:pPr>
            <w:r>
              <w:rPr>
                <w:color w:val="auto"/>
                <w:spacing w:val="-3"/>
                <w:sz w:val="20"/>
                <w:szCs w:val="20"/>
                <w:highlight w:val="none"/>
              </w:rPr>
              <w:t>B</w:t>
            </w:r>
            <w:r>
              <w:rPr>
                <w:color w:val="auto"/>
                <w:spacing w:val="-26"/>
                <w:sz w:val="20"/>
                <w:szCs w:val="20"/>
                <w:highlight w:val="none"/>
              </w:rPr>
              <w:t xml:space="preserve"> </w:t>
            </w:r>
            <w:r>
              <w:rPr>
                <w:rFonts w:hint="eastAsia"/>
                <w:color w:val="auto"/>
                <w:spacing w:val="-6"/>
                <w:sz w:val="20"/>
                <w:szCs w:val="20"/>
                <w:highlight w:val="none"/>
              </w:rPr>
              <w:t>或</w:t>
            </w:r>
            <w:r>
              <w:rPr>
                <w:color w:val="auto"/>
                <w:spacing w:val="-25"/>
                <w:sz w:val="20"/>
                <w:szCs w:val="20"/>
                <w:highlight w:val="none"/>
              </w:rPr>
              <w:t xml:space="preserve"> </w:t>
            </w: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 w:hRule="atLeast"/>
        </w:trPr>
        <w:tc>
          <w:tcPr>
            <w:tcW w:w="1723" w:type="dxa"/>
            <w:vMerge w:val="continue"/>
            <w:tcBorders>
              <w:top w:val="nil"/>
              <w:bottom w:val="nil"/>
            </w:tcBorders>
            <w:noWrap w:val="0"/>
            <w:vAlign w:val="top"/>
          </w:tcPr>
          <w:p>
            <w:pPr>
              <w:rPr>
                <w:color w:val="auto"/>
                <w:sz w:val="24"/>
                <w:szCs w:val="32"/>
                <w:highlight w:val="none"/>
              </w:rPr>
            </w:pPr>
          </w:p>
        </w:tc>
        <w:tc>
          <w:tcPr>
            <w:tcW w:w="2877" w:type="dxa"/>
            <w:noWrap w:val="0"/>
            <w:vAlign w:val="center"/>
          </w:tcPr>
          <w:p>
            <w:pPr>
              <w:jc w:val="center"/>
              <w:rPr>
                <w:color w:val="auto"/>
                <w:sz w:val="20"/>
                <w:szCs w:val="20"/>
                <w:highlight w:val="none"/>
              </w:rPr>
            </w:pPr>
            <w:r>
              <w:rPr>
                <w:rFonts w:hint="eastAsia"/>
                <w:color w:val="auto"/>
                <w:spacing w:val="7"/>
                <w:sz w:val="20"/>
                <w:szCs w:val="20"/>
                <w:highlight w:val="none"/>
              </w:rPr>
              <w:t>电快速</w:t>
            </w:r>
            <w:r>
              <w:rPr>
                <w:rFonts w:hint="eastAsia"/>
                <w:color w:val="auto"/>
                <w:spacing w:val="6"/>
                <w:sz w:val="20"/>
                <w:szCs w:val="20"/>
                <w:highlight w:val="none"/>
              </w:rPr>
              <w:t>瞬变脉冲群</w:t>
            </w:r>
          </w:p>
        </w:tc>
        <w:tc>
          <w:tcPr>
            <w:tcW w:w="1946" w:type="dxa"/>
            <w:noWrap w:val="0"/>
            <w:vAlign w:val="center"/>
          </w:tcPr>
          <w:p>
            <w:pPr>
              <w:rPr>
                <w:color w:val="auto"/>
                <w:sz w:val="18"/>
                <w:szCs w:val="21"/>
                <w:highlight w:val="none"/>
              </w:rPr>
            </w:pPr>
            <w:r>
              <w:rPr>
                <w:color w:val="auto"/>
                <w:sz w:val="18"/>
                <w:szCs w:val="21"/>
                <w:highlight w:val="none"/>
              </w:rPr>
              <w:t>GB/T 17626.4-2018</w:t>
            </w:r>
          </w:p>
        </w:tc>
        <w:tc>
          <w:tcPr>
            <w:tcW w:w="1414" w:type="dxa"/>
            <w:noWrap w:val="0"/>
            <w:vAlign w:val="center"/>
          </w:tcPr>
          <w:p>
            <w:pPr>
              <w:jc w:val="center"/>
              <w:rPr>
                <w:color w:val="auto"/>
                <w:sz w:val="20"/>
                <w:szCs w:val="20"/>
                <w:highlight w:val="none"/>
              </w:rPr>
            </w:pPr>
            <w:r>
              <w:rPr>
                <w:color w:val="auto"/>
                <w:spacing w:val="-3"/>
                <w:sz w:val="20"/>
                <w:szCs w:val="20"/>
                <w:highlight w:val="none"/>
              </w:rPr>
              <w:t>4</w:t>
            </w:r>
            <w:r>
              <w:rPr>
                <w:color w:val="auto"/>
                <w:spacing w:val="-24"/>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B</w:t>
            </w:r>
            <w:r>
              <w:rPr>
                <w:color w:val="auto"/>
                <w:spacing w:val="-26"/>
                <w:sz w:val="20"/>
                <w:szCs w:val="20"/>
                <w:highlight w:val="none"/>
              </w:rPr>
              <w:t xml:space="preserve"> </w:t>
            </w:r>
            <w:r>
              <w:rPr>
                <w:rFonts w:hint="eastAsia"/>
                <w:color w:val="auto"/>
                <w:spacing w:val="-6"/>
                <w:sz w:val="20"/>
                <w:szCs w:val="20"/>
                <w:highlight w:val="none"/>
              </w:rPr>
              <w:t>或</w:t>
            </w:r>
            <w:r>
              <w:rPr>
                <w:color w:val="auto"/>
                <w:spacing w:val="-25"/>
                <w:sz w:val="20"/>
                <w:szCs w:val="20"/>
                <w:highlight w:val="none"/>
              </w:rPr>
              <w:t xml:space="preserve"> </w:t>
            </w: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trPr>
        <w:tc>
          <w:tcPr>
            <w:tcW w:w="1723" w:type="dxa"/>
            <w:vMerge w:val="continue"/>
            <w:tcBorders>
              <w:top w:val="nil"/>
              <w:bottom w:val="nil"/>
            </w:tcBorders>
            <w:noWrap w:val="0"/>
            <w:vAlign w:val="top"/>
          </w:tcPr>
          <w:p>
            <w:pPr>
              <w:rPr>
                <w:color w:val="auto"/>
                <w:sz w:val="24"/>
                <w:szCs w:val="32"/>
                <w:highlight w:val="none"/>
              </w:rPr>
            </w:pPr>
          </w:p>
        </w:tc>
        <w:tc>
          <w:tcPr>
            <w:tcW w:w="2877" w:type="dxa"/>
            <w:noWrap w:val="0"/>
            <w:vAlign w:val="center"/>
          </w:tcPr>
          <w:p>
            <w:pPr>
              <w:jc w:val="center"/>
              <w:rPr>
                <w:color w:val="auto"/>
                <w:sz w:val="20"/>
                <w:szCs w:val="20"/>
                <w:highlight w:val="none"/>
              </w:rPr>
            </w:pPr>
            <w:r>
              <w:rPr>
                <w:rFonts w:hint="eastAsia"/>
                <w:color w:val="auto"/>
                <w:spacing w:val="7"/>
                <w:sz w:val="20"/>
                <w:szCs w:val="20"/>
                <w:highlight w:val="none"/>
              </w:rPr>
              <w:t>浪涌</w:t>
            </w:r>
            <w:r>
              <w:rPr>
                <w:rFonts w:hint="eastAsia"/>
                <w:color w:val="auto"/>
                <w:spacing w:val="6"/>
                <w:sz w:val="20"/>
                <w:szCs w:val="20"/>
                <w:highlight w:val="none"/>
              </w:rPr>
              <w:t>（冲击</w:t>
            </w:r>
            <w:r>
              <w:rPr>
                <w:rFonts w:hint="eastAsia"/>
                <w:color w:val="auto"/>
                <w:spacing w:val="8"/>
                <w:sz w:val="20"/>
                <w:szCs w:val="20"/>
                <w:highlight w:val="none"/>
              </w:rPr>
              <w:t>）</w:t>
            </w:r>
          </w:p>
        </w:tc>
        <w:tc>
          <w:tcPr>
            <w:tcW w:w="1946" w:type="dxa"/>
            <w:noWrap w:val="0"/>
            <w:vAlign w:val="center"/>
          </w:tcPr>
          <w:p>
            <w:pPr>
              <w:rPr>
                <w:color w:val="auto"/>
                <w:sz w:val="18"/>
                <w:szCs w:val="21"/>
                <w:highlight w:val="none"/>
              </w:rPr>
            </w:pPr>
            <w:r>
              <w:rPr>
                <w:color w:val="auto"/>
                <w:sz w:val="18"/>
                <w:szCs w:val="21"/>
                <w:highlight w:val="none"/>
              </w:rPr>
              <w:t>GB/T 17626.5-2019</w:t>
            </w:r>
          </w:p>
        </w:tc>
        <w:tc>
          <w:tcPr>
            <w:tcW w:w="1414" w:type="dxa"/>
            <w:noWrap w:val="0"/>
            <w:vAlign w:val="center"/>
          </w:tcPr>
          <w:p>
            <w:pPr>
              <w:jc w:val="center"/>
              <w:rPr>
                <w:color w:val="auto"/>
                <w:sz w:val="20"/>
                <w:szCs w:val="20"/>
                <w:highlight w:val="none"/>
              </w:rPr>
            </w:pPr>
            <w:r>
              <w:rPr>
                <w:color w:val="auto"/>
                <w:spacing w:val="-3"/>
                <w:sz w:val="20"/>
                <w:szCs w:val="20"/>
                <w:highlight w:val="none"/>
              </w:rPr>
              <w:t>4</w:t>
            </w:r>
            <w:r>
              <w:rPr>
                <w:color w:val="auto"/>
                <w:spacing w:val="-24"/>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B</w:t>
            </w:r>
            <w:r>
              <w:rPr>
                <w:color w:val="auto"/>
                <w:spacing w:val="-26"/>
                <w:sz w:val="20"/>
                <w:szCs w:val="20"/>
                <w:highlight w:val="none"/>
              </w:rPr>
              <w:t xml:space="preserve"> </w:t>
            </w:r>
            <w:r>
              <w:rPr>
                <w:rFonts w:hint="eastAsia"/>
                <w:color w:val="auto"/>
                <w:spacing w:val="-6"/>
                <w:sz w:val="20"/>
                <w:szCs w:val="20"/>
                <w:highlight w:val="none"/>
              </w:rPr>
              <w:t>或</w:t>
            </w:r>
            <w:r>
              <w:rPr>
                <w:color w:val="auto"/>
                <w:spacing w:val="-25"/>
                <w:sz w:val="20"/>
                <w:szCs w:val="20"/>
                <w:highlight w:val="none"/>
              </w:rPr>
              <w:t xml:space="preserve"> </w:t>
            </w: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1723" w:type="dxa"/>
            <w:vMerge w:val="continue"/>
            <w:tcBorders>
              <w:top w:val="nil"/>
            </w:tcBorders>
            <w:noWrap w:val="0"/>
            <w:vAlign w:val="top"/>
          </w:tcPr>
          <w:p>
            <w:pPr>
              <w:rPr>
                <w:color w:val="auto"/>
                <w:sz w:val="24"/>
                <w:szCs w:val="32"/>
                <w:highlight w:val="none"/>
              </w:rPr>
            </w:pPr>
          </w:p>
        </w:tc>
        <w:tc>
          <w:tcPr>
            <w:tcW w:w="2877" w:type="dxa"/>
            <w:noWrap w:val="0"/>
            <w:vAlign w:val="center"/>
          </w:tcPr>
          <w:p>
            <w:pPr>
              <w:jc w:val="center"/>
              <w:rPr>
                <w:color w:val="auto"/>
                <w:sz w:val="20"/>
                <w:szCs w:val="20"/>
                <w:highlight w:val="none"/>
              </w:rPr>
            </w:pPr>
            <w:r>
              <w:rPr>
                <w:rFonts w:hint="eastAsia"/>
                <w:color w:val="auto"/>
                <w:spacing w:val="10"/>
                <w:sz w:val="20"/>
                <w:szCs w:val="20"/>
                <w:highlight w:val="none"/>
              </w:rPr>
              <w:t>射频</w:t>
            </w:r>
            <w:r>
              <w:rPr>
                <w:rFonts w:hint="eastAsia"/>
                <w:color w:val="auto"/>
                <w:spacing w:val="9"/>
                <w:sz w:val="20"/>
                <w:szCs w:val="20"/>
                <w:highlight w:val="none"/>
              </w:rPr>
              <w:t>场感应的传导骚扰</w:t>
            </w:r>
          </w:p>
        </w:tc>
        <w:tc>
          <w:tcPr>
            <w:tcW w:w="1946" w:type="dxa"/>
            <w:noWrap w:val="0"/>
            <w:vAlign w:val="center"/>
          </w:tcPr>
          <w:p>
            <w:pPr>
              <w:rPr>
                <w:color w:val="auto"/>
                <w:sz w:val="18"/>
                <w:szCs w:val="21"/>
                <w:highlight w:val="none"/>
              </w:rPr>
            </w:pPr>
            <w:r>
              <w:rPr>
                <w:color w:val="auto"/>
                <w:sz w:val="18"/>
                <w:szCs w:val="21"/>
                <w:highlight w:val="none"/>
              </w:rPr>
              <w:t>GB/T 17626.6-2017</w:t>
            </w:r>
          </w:p>
        </w:tc>
        <w:tc>
          <w:tcPr>
            <w:tcW w:w="1414" w:type="dxa"/>
            <w:noWrap w:val="0"/>
            <w:vAlign w:val="center"/>
          </w:tcPr>
          <w:p>
            <w:pPr>
              <w:jc w:val="center"/>
              <w:rPr>
                <w:color w:val="auto"/>
                <w:sz w:val="20"/>
                <w:szCs w:val="20"/>
                <w:highlight w:val="none"/>
              </w:rPr>
            </w:pPr>
            <w:r>
              <w:rPr>
                <w:color w:val="auto"/>
                <w:spacing w:val="-3"/>
                <w:sz w:val="20"/>
                <w:szCs w:val="20"/>
                <w:highlight w:val="none"/>
              </w:rPr>
              <w:t>3</w:t>
            </w:r>
            <w:r>
              <w:rPr>
                <w:color w:val="auto"/>
                <w:spacing w:val="-29"/>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 w:hRule="atLeast"/>
        </w:trPr>
        <w:tc>
          <w:tcPr>
            <w:tcW w:w="1723" w:type="dxa"/>
            <w:vMerge w:val="restart"/>
            <w:tcBorders>
              <w:bottom w:val="nil"/>
            </w:tcBorders>
            <w:noWrap w:val="0"/>
            <w:vAlign w:val="top"/>
          </w:tcPr>
          <w:p>
            <w:pPr>
              <w:spacing w:before="271" w:line="234" w:lineRule="auto"/>
              <w:ind w:firstLine="335"/>
              <w:rPr>
                <w:color w:val="auto"/>
                <w:sz w:val="20"/>
                <w:szCs w:val="20"/>
                <w:highlight w:val="none"/>
              </w:rPr>
            </w:pPr>
            <w:r>
              <w:rPr>
                <w:rFonts w:hint="eastAsia"/>
                <w:color w:val="auto"/>
                <w:spacing w:val="8"/>
                <w:sz w:val="20"/>
                <w:szCs w:val="20"/>
                <w:highlight w:val="none"/>
              </w:rPr>
              <w:t>直流电</w:t>
            </w:r>
            <w:r>
              <w:rPr>
                <w:rFonts w:hint="eastAsia"/>
                <w:color w:val="auto"/>
                <w:spacing w:val="7"/>
                <w:sz w:val="20"/>
                <w:szCs w:val="20"/>
                <w:highlight w:val="none"/>
              </w:rPr>
              <w:t>源</w:t>
            </w:r>
          </w:p>
        </w:tc>
        <w:tc>
          <w:tcPr>
            <w:tcW w:w="2877" w:type="dxa"/>
            <w:noWrap w:val="0"/>
            <w:vAlign w:val="center"/>
          </w:tcPr>
          <w:p>
            <w:pPr>
              <w:jc w:val="center"/>
              <w:rPr>
                <w:color w:val="auto"/>
                <w:sz w:val="20"/>
                <w:szCs w:val="20"/>
                <w:highlight w:val="none"/>
              </w:rPr>
            </w:pPr>
            <w:r>
              <w:rPr>
                <w:rFonts w:hint="eastAsia"/>
                <w:color w:val="auto"/>
                <w:spacing w:val="7"/>
                <w:sz w:val="20"/>
                <w:szCs w:val="20"/>
                <w:highlight w:val="none"/>
              </w:rPr>
              <w:t>电快速</w:t>
            </w:r>
            <w:r>
              <w:rPr>
                <w:rFonts w:hint="eastAsia"/>
                <w:color w:val="auto"/>
                <w:spacing w:val="6"/>
                <w:sz w:val="20"/>
                <w:szCs w:val="20"/>
                <w:highlight w:val="none"/>
              </w:rPr>
              <w:t>瞬变脉冲群</w:t>
            </w:r>
          </w:p>
        </w:tc>
        <w:tc>
          <w:tcPr>
            <w:tcW w:w="1946" w:type="dxa"/>
            <w:noWrap w:val="0"/>
            <w:vAlign w:val="center"/>
          </w:tcPr>
          <w:p>
            <w:pPr>
              <w:rPr>
                <w:color w:val="auto"/>
                <w:sz w:val="18"/>
                <w:szCs w:val="21"/>
                <w:highlight w:val="none"/>
              </w:rPr>
            </w:pPr>
            <w:r>
              <w:rPr>
                <w:color w:val="auto"/>
                <w:sz w:val="18"/>
                <w:szCs w:val="21"/>
                <w:highlight w:val="none"/>
              </w:rPr>
              <w:t>GB/T 17626.4-2018</w:t>
            </w:r>
          </w:p>
        </w:tc>
        <w:tc>
          <w:tcPr>
            <w:tcW w:w="1414" w:type="dxa"/>
            <w:noWrap w:val="0"/>
            <w:vAlign w:val="center"/>
          </w:tcPr>
          <w:p>
            <w:pPr>
              <w:jc w:val="center"/>
              <w:rPr>
                <w:color w:val="auto"/>
                <w:sz w:val="20"/>
                <w:szCs w:val="20"/>
                <w:highlight w:val="none"/>
              </w:rPr>
            </w:pPr>
            <w:r>
              <w:rPr>
                <w:color w:val="auto"/>
                <w:spacing w:val="-3"/>
                <w:sz w:val="20"/>
                <w:szCs w:val="20"/>
                <w:highlight w:val="none"/>
              </w:rPr>
              <w:t>4</w:t>
            </w:r>
            <w:r>
              <w:rPr>
                <w:color w:val="auto"/>
                <w:spacing w:val="-24"/>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B</w:t>
            </w:r>
            <w:r>
              <w:rPr>
                <w:color w:val="auto"/>
                <w:spacing w:val="-26"/>
                <w:sz w:val="20"/>
                <w:szCs w:val="20"/>
                <w:highlight w:val="none"/>
              </w:rPr>
              <w:t xml:space="preserve"> </w:t>
            </w:r>
            <w:r>
              <w:rPr>
                <w:rFonts w:hint="eastAsia"/>
                <w:color w:val="auto"/>
                <w:spacing w:val="-6"/>
                <w:sz w:val="20"/>
                <w:szCs w:val="20"/>
                <w:highlight w:val="none"/>
              </w:rPr>
              <w:t>或</w:t>
            </w:r>
            <w:r>
              <w:rPr>
                <w:color w:val="auto"/>
                <w:spacing w:val="-25"/>
                <w:sz w:val="20"/>
                <w:szCs w:val="20"/>
                <w:highlight w:val="none"/>
              </w:rPr>
              <w:t xml:space="preserve"> </w:t>
            </w: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 w:hRule="atLeast"/>
        </w:trPr>
        <w:tc>
          <w:tcPr>
            <w:tcW w:w="1723" w:type="dxa"/>
            <w:vMerge w:val="continue"/>
            <w:tcBorders>
              <w:top w:val="nil"/>
              <w:bottom w:val="nil"/>
            </w:tcBorders>
            <w:noWrap w:val="0"/>
            <w:vAlign w:val="top"/>
          </w:tcPr>
          <w:p>
            <w:pPr>
              <w:rPr>
                <w:color w:val="auto"/>
                <w:sz w:val="24"/>
                <w:szCs w:val="32"/>
                <w:highlight w:val="none"/>
              </w:rPr>
            </w:pPr>
          </w:p>
        </w:tc>
        <w:tc>
          <w:tcPr>
            <w:tcW w:w="2877" w:type="dxa"/>
            <w:noWrap w:val="0"/>
            <w:vAlign w:val="center"/>
          </w:tcPr>
          <w:p>
            <w:pPr>
              <w:jc w:val="center"/>
              <w:rPr>
                <w:color w:val="auto"/>
                <w:sz w:val="20"/>
                <w:szCs w:val="20"/>
                <w:highlight w:val="none"/>
              </w:rPr>
            </w:pPr>
            <w:r>
              <w:rPr>
                <w:rFonts w:hint="eastAsia"/>
                <w:color w:val="auto"/>
                <w:spacing w:val="7"/>
                <w:sz w:val="20"/>
                <w:szCs w:val="20"/>
                <w:highlight w:val="none"/>
              </w:rPr>
              <w:t>浪涌</w:t>
            </w:r>
            <w:r>
              <w:rPr>
                <w:rFonts w:hint="eastAsia"/>
                <w:color w:val="auto"/>
                <w:spacing w:val="6"/>
                <w:sz w:val="20"/>
                <w:szCs w:val="20"/>
                <w:highlight w:val="none"/>
              </w:rPr>
              <w:t>（冲击</w:t>
            </w:r>
            <w:r>
              <w:rPr>
                <w:rFonts w:hint="eastAsia"/>
                <w:color w:val="auto"/>
                <w:spacing w:val="8"/>
                <w:sz w:val="20"/>
                <w:szCs w:val="20"/>
                <w:highlight w:val="none"/>
              </w:rPr>
              <w:t>）</w:t>
            </w:r>
          </w:p>
        </w:tc>
        <w:tc>
          <w:tcPr>
            <w:tcW w:w="1946" w:type="dxa"/>
            <w:noWrap w:val="0"/>
            <w:vAlign w:val="center"/>
          </w:tcPr>
          <w:p>
            <w:pPr>
              <w:rPr>
                <w:color w:val="auto"/>
                <w:sz w:val="18"/>
                <w:szCs w:val="21"/>
                <w:highlight w:val="none"/>
              </w:rPr>
            </w:pPr>
            <w:r>
              <w:rPr>
                <w:color w:val="auto"/>
                <w:sz w:val="18"/>
                <w:szCs w:val="21"/>
                <w:highlight w:val="none"/>
              </w:rPr>
              <w:t>GB/T 17626.5-2019</w:t>
            </w:r>
          </w:p>
        </w:tc>
        <w:tc>
          <w:tcPr>
            <w:tcW w:w="1414" w:type="dxa"/>
            <w:noWrap w:val="0"/>
            <w:vAlign w:val="center"/>
          </w:tcPr>
          <w:p>
            <w:pPr>
              <w:jc w:val="center"/>
              <w:rPr>
                <w:color w:val="auto"/>
                <w:sz w:val="20"/>
                <w:szCs w:val="20"/>
                <w:highlight w:val="none"/>
              </w:rPr>
            </w:pPr>
            <w:r>
              <w:rPr>
                <w:color w:val="auto"/>
                <w:spacing w:val="-3"/>
                <w:sz w:val="20"/>
                <w:szCs w:val="20"/>
                <w:highlight w:val="none"/>
              </w:rPr>
              <w:t>4</w:t>
            </w:r>
            <w:r>
              <w:rPr>
                <w:color w:val="auto"/>
                <w:spacing w:val="-24"/>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B</w:t>
            </w:r>
            <w:r>
              <w:rPr>
                <w:color w:val="auto"/>
                <w:spacing w:val="-26"/>
                <w:sz w:val="20"/>
                <w:szCs w:val="20"/>
                <w:highlight w:val="none"/>
              </w:rPr>
              <w:t xml:space="preserve"> </w:t>
            </w:r>
            <w:r>
              <w:rPr>
                <w:rFonts w:hint="eastAsia"/>
                <w:color w:val="auto"/>
                <w:spacing w:val="-6"/>
                <w:sz w:val="20"/>
                <w:szCs w:val="20"/>
                <w:highlight w:val="none"/>
              </w:rPr>
              <w:t>或</w:t>
            </w:r>
            <w:r>
              <w:rPr>
                <w:color w:val="auto"/>
                <w:spacing w:val="-25"/>
                <w:sz w:val="20"/>
                <w:szCs w:val="20"/>
                <w:highlight w:val="none"/>
              </w:rPr>
              <w:t xml:space="preserve"> </w:t>
            </w: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 w:hRule="atLeast"/>
        </w:trPr>
        <w:tc>
          <w:tcPr>
            <w:tcW w:w="1723" w:type="dxa"/>
            <w:vMerge w:val="continue"/>
            <w:tcBorders>
              <w:top w:val="nil"/>
            </w:tcBorders>
            <w:noWrap w:val="0"/>
            <w:vAlign w:val="top"/>
          </w:tcPr>
          <w:p>
            <w:pPr>
              <w:rPr>
                <w:color w:val="auto"/>
                <w:sz w:val="24"/>
                <w:szCs w:val="32"/>
                <w:highlight w:val="none"/>
              </w:rPr>
            </w:pPr>
          </w:p>
        </w:tc>
        <w:tc>
          <w:tcPr>
            <w:tcW w:w="2877" w:type="dxa"/>
            <w:noWrap w:val="0"/>
            <w:vAlign w:val="center"/>
          </w:tcPr>
          <w:p>
            <w:pPr>
              <w:jc w:val="center"/>
              <w:rPr>
                <w:color w:val="auto"/>
                <w:sz w:val="20"/>
                <w:szCs w:val="20"/>
                <w:highlight w:val="none"/>
              </w:rPr>
            </w:pPr>
            <w:r>
              <w:rPr>
                <w:rFonts w:hint="eastAsia"/>
                <w:color w:val="auto"/>
                <w:spacing w:val="10"/>
                <w:sz w:val="20"/>
                <w:szCs w:val="20"/>
                <w:highlight w:val="none"/>
              </w:rPr>
              <w:t>射频</w:t>
            </w:r>
            <w:r>
              <w:rPr>
                <w:rFonts w:hint="eastAsia"/>
                <w:color w:val="auto"/>
                <w:spacing w:val="9"/>
                <w:sz w:val="20"/>
                <w:szCs w:val="20"/>
                <w:highlight w:val="none"/>
              </w:rPr>
              <w:t>场感应的传导骚扰</w:t>
            </w:r>
          </w:p>
        </w:tc>
        <w:tc>
          <w:tcPr>
            <w:tcW w:w="1946" w:type="dxa"/>
            <w:noWrap w:val="0"/>
            <w:vAlign w:val="center"/>
          </w:tcPr>
          <w:p>
            <w:pPr>
              <w:rPr>
                <w:color w:val="auto"/>
                <w:sz w:val="18"/>
                <w:szCs w:val="21"/>
                <w:highlight w:val="none"/>
              </w:rPr>
            </w:pPr>
            <w:r>
              <w:rPr>
                <w:color w:val="auto"/>
                <w:sz w:val="18"/>
                <w:szCs w:val="21"/>
                <w:highlight w:val="none"/>
              </w:rPr>
              <w:t>GB/T 17626.6-2017</w:t>
            </w:r>
          </w:p>
        </w:tc>
        <w:tc>
          <w:tcPr>
            <w:tcW w:w="1414" w:type="dxa"/>
            <w:noWrap w:val="0"/>
            <w:vAlign w:val="center"/>
          </w:tcPr>
          <w:p>
            <w:pPr>
              <w:jc w:val="center"/>
              <w:rPr>
                <w:color w:val="auto"/>
                <w:sz w:val="20"/>
                <w:szCs w:val="20"/>
                <w:highlight w:val="none"/>
              </w:rPr>
            </w:pPr>
            <w:r>
              <w:rPr>
                <w:color w:val="auto"/>
                <w:spacing w:val="-3"/>
                <w:sz w:val="20"/>
                <w:szCs w:val="20"/>
                <w:highlight w:val="none"/>
              </w:rPr>
              <w:t>3</w:t>
            </w:r>
            <w:r>
              <w:rPr>
                <w:color w:val="auto"/>
                <w:spacing w:val="-29"/>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 w:hRule="atLeast"/>
        </w:trPr>
        <w:tc>
          <w:tcPr>
            <w:tcW w:w="1723" w:type="dxa"/>
            <w:vMerge w:val="restart"/>
            <w:tcBorders>
              <w:bottom w:val="nil"/>
            </w:tcBorders>
            <w:noWrap w:val="0"/>
            <w:vAlign w:val="top"/>
          </w:tcPr>
          <w:p>
            <w:pPr>
              <w:spacing w:before="34" w:line="231" w:lineRule="auto"/>
              <w:rPr>
                <w:color w:val="auto"/>
                <w:sz w:val="20"/>
                <w:szCs w:val="20"/>
                <w:highlight w:val="none"/>
              </w:rPr>
            </w:pPr>
            <w:r>
              <w:rPr>
                <w:color w:val="auto"/>
                <w:spacing w:val="1"/>
                <w:sz w:val="20"/>
                <w:szCs w:val="20"/>
                <w:highlight w:val="none"/>
              </w:rPr>
              <w:t xml:space="preserve">I/O </w:t>
            </w:r>
            <w:r>
              <w:rPr>
                <w:rFonts w:hint="eastAsia"/>
                <w:color w:val="auto"/>
                <w:sz w:val="20"/>
                <w:szCs w:val="20"/>
                <w:highlight w:val="none"/>
              </w:rPr>
              <w:t>信号∕控</w:t>
            </w:r>
            <w:r>
              <w:rPr>
                <w:rFonts w:hint="eastAsia"/>
                <w:color w:val="auto"/>
                <w:spacing w:val="9"/>
                <w:sz w:val="20"/>
                <w:szCs w:val="20"/>
                <w:highlight w:val="none"/>
              </w:rPr>
              <w:t>制</w:t>
            </w:r>
            <w:r>
              <w:rPr>
                <w:color w:val="auto"/>
                <w:spacing w:val="5"/>
                <w:sz w:val="20"/>
                <w:szCs w:val="20"/>
                <w:highlight w:val="none"/>
              </w:rPr>
              <w:t>(</w:t>
            </w:r>
            <w:r>
              <w:rPr>
                <w:rFonts w:hint="eastAsia"/>
                <w:color w:val="auto"/>
                <w:spacing w:val="8"/>
                <w:sz w:val="20"/>
                <w:szCs w:val="20"/>
                <w:highlight w:val="none"/>
              </w:rPr>
              <w:t>包括功能</w:t>
            </w:r>
            <w:r>
              <w:rPr>
                <w:rFonts w:hint="eastAsia"/>
                <w:color w:val="auto"/>
                <w:spacing w:val="9"/>
                <w:sz w:val="20"/>
                <w:szCs w:val="20"/>
                <w:highlight w:val="none"/>
              </w:rPr>
              <w:t>接地端口的</w:t>
            </w:r>
            <w:r>
              <w:rPr>
                <w:rFonts w:hint="eastAsia"/>
                <w:color w:val="auto"/>
                <w:spacing w:val="8"/>
                <w:sz w:val="20"/>
                <w:szCs w:val="20"/>
                <w:highlight w:val="none"/>
              </w:rPr>
              <w:t>连接</w:t>
            </w:r>
            <w:r>
              <w:rPr>
                <w:rFonts w:hint="eastAsia"/>
                <w:color w:val="auto"/>
                <w:spacing w:val="7"/>
                <w:sz w:val="20"/>
                <w:szCs w:val="20"/>
                <w:highlight w:val="none"/>
              </w:rPr>
              <w:t>线</w:t>
            </w:r>
            <w:r>
              <w:rPr>
                <w:color w:val="auto"/>
                <w:spacing w:val="3"/>
                <w:sz w:val="20"/>
                <w:szCs w:val="20"/>
                <w:highlight w:val="none"/>
              </w:rPr>
              <w:t>)</w:t>
            </w:r>
          </w:p>
        </w:tc>
        <w:tc>
          <w:tcPr>
            <w:tcW w:w="2877" w:type="dxa"/>
            <w:noWrap w:val="0"/>
            <w:vAlign w:val="center"/>
          </w:tcPr>
          <w:p>
            <w:pPr>
              <w:jc w:val="center"/>
              <w:rPr>
                <w:color w:val="auto"/>
                <w:sz w:val="20"/>
                <w:szCs w:val="20"/>
                <w:highlight w:val="none"/>
              </w:rPr>
            </w:pPr>
            <w:r>
              <w:rPr>
                <w:rFonts w:hint="eastAsia"/>
                <w:color w:val="auto"/>
                <w:spacing w:val="7"/>
                <w:sz w:val="20"/>
                <w:szCs w:val="20"/>
                <w:highlight w:val="none"/>
              </w:rPr>
              <w:t>电快速</w:t>
            </w:r>
            <w:r>
              <w:rPr>
                <w:rFonts w:hint="eastAsia"/>
                <w:color w:val="auto"/>
                <w:spacing w:val="6"/>
                <w:sz w:val="20"/>
                <w:szCs w:val="20"/>
                <w:highlight w:val="none"/>
              </w:rPr>
              <w:t>瞬变脉冲群</w:t>
            </w:r>
          </w:p>
        </w:tc>
        <w:tc>
          <w:tcPr>
            <w:tcW w:w="1946" w:type="dxa"/>
            <w:noWrap w:val="0"/>
            <w:vAlign w:val="center"/>
          </w:tcPr>
          <w:p>
            <w:pPr>
              <w:rPr>
                <w:color w:val="auto"/>
                <w:sz w:val="18"/>
                <w:szCs w:val="21"/>
                <w:highlight w:val="none"/>
              </w:rPr>
            </w:pPr>
            <w:r>
              <w:rPr>
                <w:color w:val="auto"/>
                <w:sz w:val="18"/>
                <w:szCs w:val="21"/>
                <w:highlight w:val="none"/>
              </w:rPr>
              <w:t>GB/T 17626.4-2018</w:t>
            </w:r>
          </w:p>
        </w:tc>
        <w:tc>
          <w:tcPr>
            <w:tcW w:w="1414" w:type="dxa"/>
            <w:noWrap w:val="0"/>
            <w:vAlign w:val="center"/>
          </w:tcPr>
          <w:p>
            <w:pPr>
              <w:jc w:val="center"/>
              <w:rPr>
                <w:color w:val="auto"/>
                <w:sz w:val="20"/>
                <w:szCs w:val="20"/>
                <w:highlight w:val="none"/>
              </w:rPr>
            </w:pPr>
            <w:r>
              <w:rPr>
                <w:color w:val="auto"/>
                <w:spacing w:val="-3"/>
                <w:sz w:val="20"/>
                <w:szCs w:val="20"/>
                <w:highlight w:val="none"/>
              </w:rPr>
              <w:t>4</w:t>
            </w:r>
            <w:r>
              <w:rPr>
                <w:color w:val="auto"/>
                <w:spacing w:val="-24"/>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B</w:t>
            </w:r>
            <w:r>
              <w:rPr>
                <w:color w:val="auto"/>
                <w:spacing w:val="-26"/>
                <w:sz w:val="20"/>
                <w:szCs w:val="20"/>
                <w:highlight w:val="none"/>
              </w:rPr>
              <w:t xml:space="preserve"> </w:t>
            </w:r>
            <w:r>
              <w:rPr>
                <w:rFonts w:hint="eastAsia"/>
                <w:color w:val="auto"/>
                <w:spacing w:val="-6"/>
                <w:sz w:val="20"/>
                <w:szCs w:val="20"/>
                <w:highlight w:val="none"/>
              </w:rPr>
              <w:t>或</w:t>
            </w:r>
            <w:r>
              <w:rPr>
                <w:color w:val="auto"/>
                <w:spacing w:val="-25"/>
                <w:sz w:val="20"/>
                <w:szCs w:val="20"/>
                <w:highlight w:val="none"/>
              </w:rPr>
              <w:t xml:space="preserve"> </w:t>
            </w:r>
            <w:r>
              <w:rPr>
                <w:color w:val="auto"/>
                <w:spacing w:val="-3"/>
                <w:sz w:val="20"/>
                <w:szCs w:val="20"/>
                <w:highlight w:val="none"/>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1723" w:type="dxa"/>
            <w:vMerge w:val="continue"/>
            <w:tcBorders>
              <w:top w:val="nil"/>
            </w:tcBorders>
            <w:noWrap w:val="0"/>
            <w:vAlign w:val="top"/>
          </w:tcPr>
          <w:p>
            <w:pPr>
              <w:rPr>
                <w:color w:val="auto"/>
                <w:sz w:val="24"/>
                <w:szCs w:val="32"/>
                <w:highlight w:val="none"/>
              </w:rPr>
            </w:pPr>
          </w:p>
        </w:tc>
        <w:tc>
          <w:tcPr>
            <w:tcW w:w="2877" w:type="dxa"/>
            <w:noWrap w:val="0"/>
            <w:vAlign w:val="center"/>
          </w:tcPr>
          <w:p>
            <w:pPr>
              <w:jc w:val="center"/>
              <w:rPr>
                <w:color w:val="auto"/>
                <w:sz w:val="20"/>
                <w:szCs w:val="20"/>
                <w:highlight w:val="none"/>
              </w:rPr>
            </w:pPr>
            <w:r>
              <w:rPr>
                <w:rFonts w:hint="eastAsia"/>
                <w:color w:val="auto"/>
                <w:spacing w:val="10"/>
                <w:sz w:val="20"/>
                <w:szCs w:val="20"/>
                <w:highlight w:val="none"/>
              </w:rPr>
              <w:t>射频</w:t>
            </w:r>
            <w:r>
              <w:rPr>
                <w:rFonts w:hint="eastAsia"/>
                <w:color w:val="auto"/>
                <w:spacing w:val="9"/>
                <w:sz w:val="20"/>
                <w:szCs w:val="20"/>
                <w:highlight w:val="none"/>
              </w:rPr>
              <w:t>场感应的传导骚扰</w:t>
            </w:r>
          </w:p>
        </w:tc>
        <w:tc>
          <w:tcPr>
            <w:tcW w:w="1946" w:type="dxa"/>
            <w:noWrap w:val="0"/>
            <w:vAlign w:val="center"/>
          </w:tcPr>
          <w:p>
            <w:pPr>
              <w:rPr>
                <w:color w:val="auto"/>
                <w:sz w:val="18"/>
                <w:szCs w:val="21"/>
                <w:highlight w:val="none"/>
              </w:rPr>
            </w:pPr>
            <w:r>
              <w:rPr>
                <w:color w:val="auto"/>
                <w:sz w:val="18"/>
                <w:szCs w:val="21"/>
                <w:highlight w:val="none"/>
              </w:rPr>
              <w:t>GB/T 17626.6-2017</w:t>
            </w:r>
          </w:p>
        </w:tc>
        <w:tc>
          <w:tcPr>
            <w:tcW w:w="1414" w:type="dxa"/>
            <w:noWrap w:val="0"/>
            <w:vAlign w:val="center"/>
          </w:tcPr>
          <w:p>
            <w:pPr>
              <w:jc w:val="center"/>
              <w:rPr>
                <w:color w:val="auto"/>
                <w:sz w:val="20"/>
                <w:szCs w:val="20"/>
                <w:highlight w:val="none"/>
              </w:rPr>
            </w:pPr>
            <w:r>
              <w:rPr>
                <w:color w:val="auto"/>
                <w:spacing w:val="-3"/>
                <w:sz w:val="20"/>
                <w:szCs w:val="20"/>
                <w:highlight w:val="none"/>
              </w:rPr>
              <w:t>3</w:t>
            </w:r>
            <w:r>
              <w:rPr>
                <w:color w:val="auto"/>
                <w:spacing w:val="-29"/>
                <w:sz w:val="20"/>
                <w:szCs w:val="20"/>
                <w:highlight w:val="none"/>
              </w:rPr>
              <w:t xml:space="preserve"> </w:t>
            </w:r>
            <w:r>
              <w:rPr>
                <w:rFonts w:hint="eastAsia"/>
                <w:color w:val="auto"/>
                <w:spacing w:val="-5"/>
                <w:sz w:val="20"/>
                <w:szCs w:val="20"/>
                <w:highlight w:val="none"/>
              </w:rPr>
              <w:t>级</w:t>
            </w:r>
          </w:p>
        </w:tc>
        <w:tc>
          <w:tcPr>
            <w:tcW w:w="1237" w:type="dxa"/>
            <w:noWrap w:val="0"/>
            <w:vAlign w:val="center"/>
          </w:tcPr>
          <w:p>
            <w:pPr>
              <w:jc w:val="center"/>
              <w:rPr>
                <w:color w:val="auto"/>
                <w:sz w:val="20"/>
                <w:szCs w:val="20"/>
                <w:highlight w:val="none"/>
              </w:rPr>
            </w:pPr>
            <w:r>
              <w:rPr>
                <w:color w:val="auto"/>
                <w:spacing w:val="3"/>
                <w:sz w:val="20"/>
                <w:szCs w:val="20"/>
                <w:highlight w:val="none"/>
              </w:rPr>
              <w:t>A</w:t>
            </w:r>
          </w:p>
        </w:tc>
      </w:tr>
    </w:tbl>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w:t>
      </w:r>
      <w:r>
        <w:rPr>
          <w:rFonts w:hint="eastAsia" w:ascii="宋体" w:hAnsi="宋体" w:cs="宋体"/>
          <w:color w:val="auto"/>
          <w:sz w:val="24"/>
          <w:szCs w:val="24"/>
          <w:highlight w:val="none"/>
          <w:lang w:val="en-US" w:eastAsia="zh-CN"/>
        </w:rPr>
        <w:t>电磁锁</w:t>
      </w:r>
      <w:r>
        <w:rPr>
          <w:rFonts w:hint="eastAsia" w:ascii="宋体" w:hAnsi="宋体" w:eastAsia="宋体" w:cs="宋体"/>
          <w:color w:val="auto"/>
          <w:sz w:val="24"/>
          <w:szCs w:val="24"/>
          <w:highlight w:val="none"/>
        </w:rPr>
        <w:t>、信号接收装置不含I/O信号∕控制线缆，则无需开展该试验。</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抗扰度性能判据如下：</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(1)试验过程中，在技术要求限值内功能或性能正常，可判定为A级；</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(2)试验过程中，功能或性能暂时降低或丧失，但能自行恢复，可判定为B级；</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(3)试验过程中，功能或性能暂时降低或丧失，但需要人工干预或装置复位才能恢复，可判定为C级；</w:t>
      </w:r>
    </w:p>
    <w:p>
      <w:pPr>
        <w:pStyle w:val="48"/>
        <w:tabs>
          <w:tab w:val="center" w:pos="4201"/>
          <w:tab w:val="right" w:leader="dot" w:pos="9298"/>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(4)试验过程中，出现设备（元件）或软件损坏（存储数据丢失）、功能丧失、性能下降，即使人工干预或装置复位也不能恢复，可判定为D级。</w:t>
      </w:r>
    </w:p>
    <w:p>
      <w:pPr>
        <w:spacing w:line="480" w:lineRule="auto"/>
        <w:rPr>
          <w:rFonts w:hint="default" w:ascii="宋体" w:hAnsi="宋体" w:eastAsia="宋体" w:cs="宋体"/>
          <w:b/>
          <w:bCs/>
          <w:szCs w:val="21"/>
          <w:highlight w:val="none"/>
          <w:lang w:val="en-US" w:eastAsia="zh-CN"/>
        </w:rPr>
      </w:pPr>
      <w:r>
        <w:rPr>
          <w:rFonts w:hint="default" w:ascii="宋体" w:hAnsi="宋体" w:eastAsia="宋体" w:cs="宋体"/>
          <w:b/>
          <w:bCs/>
          <w:szCs w:val="21"/>
          <w:highlight w:val="none"/>
          <w:lang w:val="en-US" w:eastAsia="zh-CN"/>
        </w:rPr>
        <w:br w:type="page"/>
      </w:r>
    </w:p>
    <w:p>
      <w:pPr>
        <w:pStyle w:val="5"/>
        <w:keepNext/>
        <w:keepLines w:val="0"/>
        <w:pageBreakBefore w:val="0"/>
        <w:widowControl/>
        <w:numPr>
          <w:ilvl w:val="0"/>
          <w:numId w:val="2"/>
        </w:numPr>
        <w:kinsoku/>
        <w:wordWrap/>
        <w:overflowPunct w:val="0"/>
        <w:topLinePunct w:val="0"/>
        <w:autoSpaceDE w:val="0"/>
        <w:autoSpaceDN w:val="0"/>
        <w:bidi w:val="0"/>
        <w:adjustRightInd w:val="0"/>
        <w:snapToGrid/>
        <w:ind w:left="0" w:leftChars="0" w:firstLine="422" w:firstLineChars="200"/>
        <w:textAlignment w:val="baseline"/>
        <w:outlineLvl w:val="0"/>
        <w:rPr>
          <w:rFonts w:hint="eastAsia" w:ascii="Times New Roman" w:hAnsi="Times New Roman" w:cs="Times New Roman"/>
          <w:b/>
          <w:bCs/>
          <w:color w:val="auto"/>
          <w:highlight w:val="none"/>
          <w:lang w:val="en-US" w:eastAsia="zh-CN"/>
        </w:rPr>
      </w:pPr>
      <w:bookmarkStart w:id="79" w:name="_Toc23089"/>
      <w:r>
        <w:rPr>
          <w:rFonts w:hint="eastAsia" w:ascii="Times New Roman" w:hAnsi="Times New Roman" w:cs="Times New Roman"/>
          <w:b/>
          <w:bCs/>
          <w:color w:val="auto"/>
          <w:highlight w:val="none"/>
          <w:lang w:val="en-US" w:eastAsia="zh-CN"/>
        </w:rPr>
        <w:t>标准技术参数表</w:t>
      </w:r>
      <w:bookmarkEnd w:id="79"/>
    </w:p>
    <w:p>
      <w:pPr>
        <w:keepNext w:val="0"/>
        <w:keepLines w:val="0"/>
        <w:pageBreakBefore w:val="0"/>
        <w:widowControl w:val="0"/>
        <w:kinsoku/>
        <w:wordWrap/>
        <w:overflowPunct/>
        <w:topLinePunct/>
        <w:autoSpaceDE/>
        <w:autoSpaceDN/>
        <w:bidi w:val="0"/>
        <w:adjustRightInd/>
        <w:snapToGrid/>
        <w:spacing w:line="580" w:lineRule="exact"/>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000000"/>
          <w:sz w:val="24"/>
          <w:szCs w:val="24"/>
          <w:highlight w:val="none"/>
          <w:lang w:val="en-US" w:eastAsia="zh-CN"/>
        </w:rPr>
        <w:t>传感器和接收</w:t>
      </w:r>
      <w:r>
        <w:rPr>
          <w:rFonts w:hint="eastAsia" w:ascii="宋体" w:hAnsi="宋体" w:eastAsia="宋体" w:cs="宋体"/>
          <w:color w:val="000000"/>
          <w:sz w:val="24"/>
          <w:szCs w:val="24"/>
          <w:highlight w:val="none"/>
          <w:lang w:eastAsia="zh-CN"/>
        </w:rPr>
        <w:t>装置应符合本招标文件技术规范的要求。</w:t>
      </w:r>
    </w:p>
    <w:p>
      <w:pPr>
        <w:keepNext w:val="0"/>
        <w:keepLines w:val="0"/>
        <w:pageBreakBefore w:val="0"/>
        <w:widowControl w:val="0"/>
        <w:kinsoku/>
        <w:wordWrap/>
        <w:overflowPunct/>
        <w:topLinePunct/>
        <w:autoSpaceDE/>
        <w:autoSpaceDN/>
        <w:bidi w:val="0"/>
        <w:adjustRightInd/>
        <w:snapToGrid/>
        <w:spacing w:line="580" w:lineRule="exact"/>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投标人应认真逐项核对技术参数表中招标人要求值，投标时应填写具体特性参数，不能以“响应”两字代替，不允许改动招标人要求值。如有偏差，请填写技术偏差表。</w:t>
      </w:r>
    </w:p>
    <w:p>
      <w:pPr>
        <w:keepNext w:val="0"/>
        <w:keepLines w:val="0"/>
        <w:pageBreakBefore w:val="0"/>
        <w:widowControl w:val="0"/>
        <w:kinsoku/>
        <w:wordWrap/>
        <w:overflowPunct/>
        <w:topLinePunct/>
        <w:autoSpaceDE/>
        <w:autoSpaceDN/>
        <w:bidi w:val="0"/>
        <w:adjustRightInd/>
        <w:snapToGrid/>
        <w:spacing w:line="580" w:lineRule="exact"/>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cs="宋体"/>
          <w:color w:val="auto"/>
          <w:sz w:val="24"/>
          <w:szCs w:val="24"/>
          <w:highlight w:val="none"/>
          <w:lang w:val="en-US" w:eastAsia="zh-CN"/>
        </w:rPr>
        <w:t>电磁锁</w:t>
      </w:r>
      <w:r>
        <w:rPr>
          <w:rFonts w:hint="eastAsia" w:ascii="宋体" w:hAnsi="宋体" w:eastAsia="宋体" w:cs="宋体"/>
          <w:color w:val="000000"/>
          <w:sz w:val="24"/>
          <w:szCs w:val="24"/>
          <w:highlight w:val="none"/>
          <w:lang w:val="en-US" w:eastAsia="zh-CN"/>
        </w:rPr>
        <w:t>传感器和接收</w:t>
      </w:r>
      <w:r>
        <w:rPr>
          <w:rFonts w:hint="eastAsia" w:ascii="宋体" w:hAnsi="宋体" w:eastAsia="宋体" w:cs="宋体"/>
          <w:color w:val="000000"/>
          <w:sz w:val="24"/>
          <w:szCs w:val="24"/>
          <w:highlight w:val="none"/>
          <w:lang w:eastAsia="zh-CN"/>
        </w:rPr>
        <w:t>装置的技术参数应符合表</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的要求。</w:t>
      </w:r>
    </w:p>
    <w:p>
      <w:pPr>
        <w:keepNext w:val="0"/>
        <w:keepLines w:val="0"/>
        <w:pageBreakBefore w:val="0"/>
        <w:widowControl w:val="0"/>
        <w:kinsoku/>
        <w:wordWrap/>
        <w:overflowPunct/>
        <w:topLinePunct/>
        <w:autoSpaceDE/>
        <w:autoSpaceDN/>
        <w:bidi w:val="0"/>
        <w:adjustRightInd/>
        <w:snapToGrid/>
        <w:spacing w:line="580" w:lineRule="exact"/>
        <w:ind w:firstLine="480" w:firstLineChars="200"/>
        <w:textAlignment w:val="auto"/>
        <w:rPr>
          <w:rFonts w:hint="eastAsia" w:hAnsi="宋体"/>
          <w:color w:val="000000"/>
          <w:sz w:val="24"/>
          <w:szCs w:val="24"/>
          <w:highlight w:val="none"/>
        </w:rPr>
      </w:pPr>
      <w:r>
        <w:rPr>
          <w:rFonts w:hint="eastAsia" w:ascii="宋体" w:hAnsi="宋体" w:eastAsia="宋体" w:cs="宋体"/>
          <w:color w:val="000000"/>
          <w:sz w:val="24"/>
          <w:szCs w:val="24"/>
          <w:highlight w:val="none"/>
          <w:lang w:eastAsia="zh-CN"/>
        </w:rPr>
        <w:t>填写以下表格注意事项：空白部分的参数根据需要选择填写，不需要填写的应以“—”表示。</w:t>
      </w:r>
    </w:p>
    <w:p>
      <w:pPr>
        <w:pStyle w:val="45"/>
        <w:keepNext w:val="0"/>
        <w:keepLines w:val="0"/>
        <w:pageBreakBefore w:val="0"/>
        <w:widowControl/>
        <w:kinsoku/>
        <w:wordWrap/>
        <w:overflowPunct/>
        <w:topLinePunct w:val="0"/>
        <w:autoSpaceDE/>
        <w:autoSpaceDN/>
        <w:bidi w:val="0"/>
        <w:adjustRightInd/>
        <w:snapToGrid/>
        <w:spacing w:before="0" w:after="0" w:line="580" w:lineRule="exact"/>
        <w:textAlignment w:val="auto"/>
        <w:rPr>
          <w:rFonts w:hint="eastAsia" w:ascii="宋体" w:hAnsi="宋体" w:eastAsia="宋体" w:cs="宋体"/>
          <w:b/>
          <w:bCs w:val="0"/>
          <w:spacing w:val="8"/>
          <w:kern w:val="2"/>
          <w:sz w:val="21"/>
          <w:szCs w:val="21"/>
          <w:highlight w:val="none"/>
          <w:lang w:val="en-US" w:eastAsia="zh-CN" w:bidi="ar-SA"/>
        </w:rPr>
      </w:pPr>
      <w:r>
        <w:rPr>
          <w:rFonts w:hint="eastAsia" w:ascii="宋体" w:hAnsi="宋体" w:eastAsia="宋体" w:cs="宋体"/>
          <w:b/>
          <w:bCs w:val="0"/>
          <w:spacing w:val="8"/>
          <w:kern w:val="2"/>
          <w:sz w:val="21"/>
          <w:szCs w:val="21"/>
          <w:highlight w:val="none"/>
          <w:lang w:val="en-US" w:eastAsia="zh-CN" w:bidi="ar-SA"/>
        </w:rPr>
        <w:t>表4 技术参数特性表</w:t>
      </w:r>
    </w:p>
    <w:tbl>
      <w:tblPr>
        <w:tblStyle w:val="20"/>
        <w:tblW w:w="7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320"/>
        <w:gridCol w:w="4493"/>
        <w:gridCol w:w="1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32" w:type="dxa"/>
            <w:noWrap w:val="0"/>
            <w:vAlign w:val="center"/>
          </w:tcPr>
          <w:p>
            <w:pPr>
              <w:pStyle w:val="10"/>
              <w:adjustRightInd w:val="0"/>
              <w:snapToGrid w:val="0"/>
              <w:spacing w:line="240" w:lineRule="auto"/>
              <w:jc w:val="center"/>
              <w:rPr>
                <w:rFonts w:hAnsi="宋体"/>
                <w:szCs w:val="21"/>
                <w:highlight w:val="none"/>
              </w:rPr>
            </w:pPr>
            <w:r>
              <w:rPr>
                <w:rFonts w:hint="eastAsia" w:hAnsi="宋体"/>
                <w:szCs w:val="21"/>
                <w:highlight w:val="none"/>
              </w:rPr>
              <w:t>序号</w:t>
            </w:r>
          </w:p>
        </w:tc>
        <w:tc>
          <w:tcPr>
            <w:tcW w:w="1320" w:type="dxa"/>
            <w:noWrap w:val="0"/>
            <w:vAlign w:val="center"/>
          </w:tcPr>
          <w:p>
            <w:pPr>
              <w:pStyle w:val="10"/>
              <w:adjustRightInd w:val="0"/>
              <w:snapToGrid w:val="0"/>
              <w:spacing w:line="240" w:lineRule="auto"/>
              <w:jc w:val="center"/>
              <w:rPr>
                <w:rFonts w:hAnsi="宋体"/>
                <w:szCs w:val="21"/>
                <w:highlight w:val="none"/>
              </w:rPr>
            </w:pPr>
            <w:r>
              <w:rPr>
                <w:rFonts w:hint="eastAsia" w:hAnsi="宋体"/>
                <w:szCs w:val="21"/>
                <w:highlight w:val="none"/>
              </w:rPr>
              <w:t>类别</w:t>
            </w:r>
          </w:p>
        </w:tc>
        <w:tc>
          <w:tcPr>
            <w:tcW w:w="4493" w:type="dxa"/>
            <w:noWrap w:val="0"/>
            <w:vAlign w:val="center"/>
          </w:tcPr>
          <w:p>
            <w:pPr>
              <w:pStyle w:val="10"/>
              <w:adjustRightInd w:val="0"/>
              <w:snapToGrid w:val="0"/>
              <w:spacing w:line="240" w:lineRule="auto"/>
              <w:jc w:val="center"/>
              <w:rPr>
                <w:rFonts w:hAnsi="宋体"/>
                <w:szCs w:val="21"/>
                <w:highlight w:val="none"/>
              </w:rPr>
            </w:pPr>
            <w:r>
              <w:rPr>
                <w:rFonts w:hint="eastAsia" w:hAnsi="宋体"/>
                <w:szCs w:val="21"/>
                <w:highlight w:val="none"/>
              </w:rPr>
              <w:t>基本技术要求</w:t>
            </w:r>
          </w:p>
        </w:tc>
        <w:tc>
          <w:tcPr>
            <w:tcW w:w="1309" w:type="dxa"/>
            <w:noWrap w:val="0"/>
            <w:vAlign w:val="center"/>
          </w:tcPr>
          <w:p>
            <w:pPr>
              <w:pStyle w:val="10"/>
              <w:adjustRightInd w:val="0"/>
              <w:snapToGrid w:val="0"/>
              <w:spacing w:line="240" w:lineRule="auto"/>
              <w:jc w:val="center"/>
              <w:rPr>
                <w:rFonts w:hint="eastAsia" w:hAnsi="宋体" w:eastAsia="宋体"/>
                <w:szCs w:val="21"/>
                <w:highlight w:val="none"/>
                <w:lang w:val="en-US" w:eastAsia="zh-CN"/>
              </w:rPr>
            </w:pPr>
            <w:r>
              <w:rPr>
                <w:rFonts w:hint="eastAsia" w:hAnsi="宋体"/>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9" w:hRule="atLeast"/>
          <w:jc w:val="center"/>
        </w:trPr>
        <w:tc>
          <w:tcPr>
            <w:tcW w:w="732" w:type="dxa"/>
            <w:noWrap w:val="0"/>
            <w:vAlign w:val="center"/>
          </w:tcPr>
          <w:p>
            <w:pPr>
              <w:pStyle w:val="10"/>
              <w:adjustRightInd w:val="0"/>
              <w:snapToGrid w:val="0"/>
              <w:spacing w:line="240" w:lineRule="auto"/>
              <w:jc w:val="center"/>
              <w:rPr>
                <w:rFonts w:hAnsi="宋体"/>
                <w:szCs w:val="21"/>
                <w:highlight w:val="none"/>
              </w:rPr>
            </w:pPr>
            <w:r>
              <w:rPr>
                <w:rFonts w:hint="eastAsia" w:hAnsi="宋体"/>
                <w:szCs w:val="21"/>
                <w:highlight w:val="none"/>
              </w:rPr>
              <w:t>1</w:t>
            </w:r>
          </w:p>
        </w:tc>
        <w:tc>
          <w:tcPr>
            <w:tcW w:w="1320" w:type="dxa"/>
            <w:noWrap w:val="0"/>
            <w:vAlign w:val="center"/>
          </w:tcPr>
          <w:p>
            <w:pPr>
              <w:pStyle w:val="10"/>
              <w:adjustRightInd w:val="0"/>
              <w:snapToGrid w:val="0"/>
              <w:spacing w:line="240" w:lineRule="auto"/>
              <w:jc w:val="center"/>
              <w:rPr>
                <w:rFonts w:hint="eastAsia" w:hAnsi="宋体" w:eastAsia="宋体"/>
                <w:szCs w:val="21"/>
                <w:highlight w:val="none"/>
                <w:lang w:eastAsia="zh-CN"/>
              </w:rPr>
            </w:pPr>
            <w:r>
              <w:rPr>
                <w:rFonts w:hint="eastAsia" w:hAnsi="宋体"/>
                <w:szCs w:val="21"/>
                <w:highlight w:val="none"/>
                <w:lang w:val="en-US" w:eastAsia="zh-CN"/>
              </w:rPr>
              <w:t>电磁锁</w:t>
            </w:r>
          </w:p>
        </w:tc>
        <w:tc>
          <w:tcPr>
            <w:tcW w:w="4493" w:type="dxa"/>
            <w:noWrap w:val="0"/>
            <w:vAlign w:val="top"/>
          </w:tcPr>
          <w:p>
            <w:pPr>
              <w:pStyle w:val="10"/>
              <w:adjustRightInd w:val="0"/>
              <w:snapToGrid w:val="0"/>
              <w:spacing w:line="240" w:lineRule="auto"/>
              <w:rPr>
                <w:rFonts w:hint="eastAsia" w:hAnsi="宋体"/>
                <w:szCs w:val="21"/>
                <w:highlight w:val="none"/>
                <w:lang w:val="en-US" w:eastAsia="zh-CN"/>
              </w:rPr>
            </w:pPr>
            <w:r>
              <w:rPr>
                <w:rFonts w:hint="eastAsia" w:hAnsi="宋体"/>
                <w:szCs w:val="21"/>
                <w:highlight w:val="none"/>
                <w:lang w:eastAsia="zh-CN"/>
              </w:rPr>
              <w:t>响应时间：＜</w:t>
            </w:r>
            <w:r>
              <w:rPr>
                <w:rFonts w:hint="eastAsia" w:hAnsi="宋体"/>
                <w:szCs w:val="21"/>
                <w:highlight w:val="none"/>
                <w:lang w:val="en-US" w:eastAsia="zh-CN"/>
              </w:rPr>
              <w:t>5ms</w:t>
            </w:r>
          </w:p>
          <w:p>
            <w:pPr>
              <w:pStyle w:val="10"/>
              <w:adjustRightInd w:val="0"/>
              <w:snapToGrid w:val="0"/>
              <w:spacing w:line="240" w:lineRule="auto"/>
              <w:rPr>
                <w:rFonts w:hint="eastAsia" w:hAnsi="宋体"/>
                <w:szCs w:val="21"/>
                <w:highlight w:val="none"/>
                <w:lang w:val="en-US" w:eastAsia="zh-CN"/>
              </w:rPr>
            </w:pPr>
            <w:r>
              <w:rPr>
                <w:rFonts w:hint="eastAsia" w:hAnsi="宋体"/>
                <w:szCs w:val="21"/>
                <w:highlight w:val="none"/>
                <w:lang w:val="en-US" w:eastAsia="zh-CN"/>
              </w:rPr>
              <w:t>工作温度：-40</w:t>
            </w:r>
            <w:r>
              <w:rPr>
                <w:rFonts w:hint="eastAsia" w:ascii="宋体" w:hAnsi="宋体" w:eastAsia="宋体"/>
                <w:szCs w:val="21"/>
                <w:highlight w:val="none"/>
                <w:lang w:eastAsia="zh-CN"/>
              </w:rPr>
              <w:t>至</w:t>
            </w:r>
            <w:r>
              <w:rPr>
                <w:rFonts w:hint="eastAsia" w:hAnsi="宋体"/>
                <w:szCs w:val="21"/>
                <w:highlight w:val="none"/>
                <w:lang w:val="en-US" w:eastAsia="zh-CN"/>
              </w:rPr>
              <w:t>80℃</w:t>
            </w:r>
          </w:p>
          <w:p>
            <w:pPr>
              <w:pStyle w:val="10"/>
              <w:adjustRightInd w:val="0"/>
              <w:snapToGrid w:val="0"/>
              <w:spacing w:line="240" w:lineRule="auto"/>
              <w:rPr>
                <w:rFonts w:hint="default" w:hAnsi="宋体"/>
                <w:szCs w:val="21"/>
                <w:highlight w:val="none"/>
                <w:lang w:val="en-US" w:eastAsia="zh-CN"/>
              </w:rPr>
            </w:pPr>
            <w:r>
              <w:rPr>
                <w:rFonts w:hint="eastAsia" w:hAnsi="宋体"/>
                <w:szCs w:val="21"/>
                <w:highlight w:val="none"/>
                <w:lang w:val="en-US" w:eastAsia="zh-CN"/>
              </w:rPr>
              <w:t>精度：±0.5mm或0.5°</w:t>
            </w:r>
          </w:p>
          <w:p>
            <w:pPr>
              <w:pStyle w:val="10"/>
              <w:adjustRightInd w:val="0"/>
              <w:snapToGrid w:val="0"/>
              <w:spacing w:line="240" w:lineRule="auto"/>
              <w:rPr>
                <w:rFonts w:hint="eastAsia" w:hAnsi="宋体"/>
                <w:szCs w:val="21"/>
                <w:highlight w:val="none"/>
              </w:rPr>
            </w:pPr>
            <w:r>
              <w:rPr>
                <w:rFonts w:hint="eastAsia" w:ascii="宋体" w:hAnsi="宋体" w:eastAsia="宋体"/>
                <w:szCs w:val="21"/>
                <w:highlight w:val="none"/>
                <w:lang w:eastAsia="zh-CN"/>
              </w:rPr>
              <w:t>平均无故障运行时间：≥</w:t>
            </w:r>
            <w:r>
              <w:rPr>
                <w:rFonts w:hint="eastAsia" w:hAnsi="宋体" w:eastAsia="宋体"/>
                <w:szCs w:val="21"/>
                <w:highlight w:val="none"/>
                <w:lang w:val="en-US" w:eastAsia="zh-CN"/>
              </w:rPr>
              <w:t>50</w:t>
            </w:r>
            <w:r>
              <w:rPr>
                <w:rFonts w:hint="eastAsia" w:ascii="宋体" w:hAnsi="宋体" w:eastAsia="宋体"/>
                <w:szCs w:val="21"/>
                <w:highlight w:val="none"/>
                <w:lang w:eastAsia="zh-CN"/>
              </w:rPr>
              <w:t>0000h；操作判断寿命：≥</w:t>
            </w:r>
            <w:r>
              <w:rPr>
                <w:rFonts w:hint="eastAsia" w:hAnsi="宋体" w:eastAsia="宋体"/>
                <w:szCs w:val="21"/>
                <w:highlight w:val="none"/>
                <w:lang w:val="en-US" w:eastAsia="zh-CN"/>
              </w:rPr>
              <w:t>20</w:t>
            </w:r>
            <w:r>
              <w:rPr>
                <w:rFonts w:hint="eastAsia" w:ascii="宋体" w:hAnsi="宋体" w:eastAsia="宋体"/>
                <w:szCs w:val="21"/>
                <w:highlight w:val="none"/>
                <w:lang w:eastAsia="zh-CN"/>
              </w:rPr>
              <w:t>0000次</w:t>
            </w:r>
          </w:p>
          <w:p>
            <w:pPr>
              <w:pStyle w:val="10"/>
              <w:adjustRightInd w:val="0"/>
              <w:snapToGrid w:val="0"/>
              <w:spacing w:line="240" w:lineRule="auto"/>
              <w:rPr>
                <w:rFonts w:hint="eastAsia" w:hAnsi="宋体" w:eastAsia="宋体"/>
                <w:szCs w:val="21"/>
                <w:highlight w:val="none"/>
                <w:lang w:eastAsia="zh-CN"/>
              </w:rPr>
            </w:pPr>
            <w:r>
              <w:rPr>
                <w:rFonts w:hint="eastAsia" w:hAnsi="宋体"/>
                <w:szCs w:val="21"/>
                <w:highlight w:val="none"/>
              </w:rPr>
              <w:t>防护等级（户外防水防尘的等级）：IP6</w:t>
            </w:r>
            <w:r>
              <w:rPr>
                <w:rFonts w:hint="eastAsia" w:hAnsi="宋体"/>
                <w:szCs w:val="21"/>
                <w:highlight w:val="none"/>
                <w:lang w:val="en-US" w:eastAsia="zh-CN"/>
              </w:rPr>
              <w:t>7</w:t>
            </w:r>
          </w:p>
          <w:p>
            <w:pPr>
              <w:pStyle w:val="10"/>
              <w:adjustRightInd w:val="0"/>
              <w:snapToGrid w:val="0"/>
              <w:spacing w:line="240" w:lineRule="auto"/>
              <w:rPr>
                <w:rFonts w:hint="eastAsia" w:hAnsi="宋体"/>
                <w:szCs w:val="21"/>
                <w:highlight w:val="none"/>
                <w:lang w:eastAsia="zh-CN"/>
              </w:rPr>
            </w:pPr>
            <w:r>
              <w:rPr>
                <w:rFonts w:hint="eastAsia" w:hAnsi="宋体"/>
                <w:szCs w:val="21"/>
                <w:highlight w:val="none"/>
                <w:lang w:eastAsia="zh-CN"/>
              </w:rPr>
              <w:t>外壳：密封型金属外壳</w:t>
            </w:r>
          </w:p>
          <w:p>
            <w:pPr>
              <w:pStyle w:val="10"/>
              <w:adjustRightInd w:val="0"/>
              <w:snapToGrid w:val="0"/>
              <w:spacing w:line="240" w:lineRule="auto"/>
              <w:rPr>
                <w:rFonts w:hint="eastAsia" w:hAnsi="宋体"/>
                <w:szCs w:val="21"/>
                <w:highlight w:val="none"/>
                <w:lang w:eastAsia="zh-CN"/>
              </w:rPr>
            </w:pPr>
            <w:r>
              <w:rPr>
                <w:rFonts w:hint="eastAsia" w:hAnsi="宋体"/>
                <w:szCs w:val="21"/>
                <w:highlight w:val="none"/>
                <w:lang w:eastAsia="zh-CN"/>
              </w:rPr>
              <w:t>输出信号：开关量</w:t>
            </w:r>
          </w:p>
          <w:p>
            <w:pPr>
              <w:pStyle w:val="10"/>
              <w:adjustRightInd w:val="0"/>
              <w:snapToGrid w:val="0"/>
              <w:spacing w:line="240" w:lineRule="auto"/>
              <w:rPr>
                <w:rFonts w:hint="eastAsia" w:hAnsi="宋体"/>
                <w:szCs w:val="21"/>
                <w:highlight w:val="none"/>
                <w:lang w:eastAsia="zh-CN"/>
              </w:rPr>
            </w:pPr>
            <w:r>
              <w:rPr>
                <w:rFonts w:hint="eastAsia" w:hAnsi="宋体"/>
                <w:szCs w:val="21"/>
                <w:highlight w:val="none"/>
                <w:lang w:eastAsia="zh-CN"/>
              </w:rPr>
              <w:t>安装固定方式：螺丝、抱箍等</w:t>
            </w:r>
          </w:p>
        </w:tc>
        <w:tc>
          <w:tcPr>
            <w:tcW w:w="1309" w:type="dxa"/>
            <w:noWrap w:val="0"/>
            <w:vAlign w:val="top"/>
          </w:tcPr>
          <w:p>
            <w:pPr>
              <w:pStyle w:val="10"/>
              <w:adjustRightInd w:val="0"/>
              <w:snapToGrid w:val="0"/>
              <w:spacing w:line="240" w:lineRule="auto"/>
              <w:rPr>
                <w:rFonts w:hint="eastAsia" w:hAnsi="宋体"/>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9" w:hRule="atLeast"/>
          <w:jc w:val="center"/>
        </w:trPr>
        <w:tc>
          <w:tcPr>
            <w:tcW w:w="732" w:type="dxa"/>
            <w:noWrap w:val="0"/>
            <w:vAlign w:val="center"/>
          </w:tcPr>
          <w:p>
            <w:pPr>
              <w:pStyle w:val="10"/>
              <w:adjustRightInd w:val="0"/>
              <w:snapToGrid w:val="0"/>
              <w:spacing w:line="240" w:lineRule="auto"/>
              <w:jc w:val="center"/>
              <w:rPr>
                <w:rFonts w:hint="default" w:hAnsi="宋体" w:eastAsia="宋体"/>
                <w:szCs w:val="21"/>
                <w:highlight w:val="none"/>
                <w:lang w:val="en-US" w:eastAsia="zh-CN"/>
              </w:rPr>
            </w:pPr>
            <w:r>
              <w:rPr>
                <w:rFonts w:hint="eastAsia" w:hAnsi="宋体"/>
                <w:szCs w:val="21"/>
                <w:highlight w:val="none"/>
                <w:lang w:val="en-US" w:eastAsia="zh-CN"/>
              </w:rPr>
              <w:t>1.1</w:t>
            </w:r>
          </w:p>
        </w:tc>
        <w:tc>
          <w:tcPr>
            <w:tcW w:w="1320" w:type="dxa"/>
            <w:noWrap w:val="0"/>
            <w:vAlign w:val="center"/>
          </w:tcPr>
          <w:p>
            <w:pPr>
              <w:pStyle w:val="10"/>
              <w:adjustRightInd w:val="0"/>
              <w:snapToGrid w:val="0"/>
              <w:spacing w:line="240" w:lineRule="auto"/>
              <w:jc w:val="center"/>
              <w:rPr>
                <w:rFonts w:hint="eastAsia" w:hAnsi="宋体" w:eastAsia="宋体"/>
                <w:szCs w:val="21"/>
                <w:highlight w:val="none"/>
                <w:lang w:eastAsia="zh-CN"/>
              </w:rPr>
            </w:pPr>
            <w:r>
              <w:rPr>
                <w:rFonts w:hint="eastAsia" w:hAnsi="宋体"/>
                <w:szCs w:val="21"/>
                <w:highlight w:val="none"/>
                <w:lang w:val="en-US" w:eastAsia="zh-CN"/>
              </w:rPr>
              <w:t>单刀闸</w:t>
            </w:r>
            <w:r>
              <w:rPr>
                <w:rFonts w:hint="eastAsia" w:hAnsi="宋体"/>
                <w:szCs w:val="21"/>
                <w:highlight w:val="none"/>
                <w:lang w:eastAsia="zh-CN"/>
              </w:rPr>
              <w:t>接收装置</w:t>
            </w:r>
          </w:p>
        </w:tc>
        <w:tc>
          <w:tcPr>
            <w:tcW w:w="4493" w:type="dxa"/>
            <w:noWrap w:val="0"/>
            <w:vAlign w:val="top"/>
          </w:tcPr>
          <w:p>
            <w:pPr>
              <w:pStyle w:val="10"/>
              <w:adjustRightInd w:val="0"/>
              <w:snapToGrid w:val="0"/>
              <w:spacing w:line="240" w:lineRule="auto"/>
              <w:rPr>
                <w:rFonts w:hint="eastAsia" w:hAnsi="宋体"/>
                <w:szCs w:val="21"/>
                <w:highlight w:val="none"/>
                <w:lang w:val="en-US" w:eastAsia="zh-CN"/>
              </w:rPr>
            </w:pPr>
            <w:r>
              <w:rPr>
                <w:rFonts w:hint="eastAsia" w:hAnsi="宋体"/>
                <w:szCs w:val="21"/>
                <w:highlight w:val="none"/>
                <w:lang w:eastAsia="zh-CN"/>
              </w:rPr>
              <w:t>响应时间：＜</w:t>
            </w:r>
            <w:r>
              <w:rPr>
                <w:rFonts w:hint="eastAsia" w:hAnsi="宋体"/>
                <w:szCs w:val="21"/>
                <w:highlight w:val="none"/>
                <w:lang w:val="en-US" w:eastAsia="zh-CN"/>
              </w:rPr>
              <w:t>500ms</w:t>
            </w:r>
          </w:p>
          <w:p>
            <w:pPr>
              <w:pStyle w:val="10"/>
              <w:adjustRightInd w:val="0"/>
              <w:snapToGrid w:val="0"/>
              <w:spacing w:line="240" w:lineRule="auto"/>
              <w:rPr>
                <w:rFonts w:hint="eastAsia" w:hAnsi="宋体"/>
                <w:szCs w:val="21"/>
                <w:highlight w:val="none"/>
                <w:lang w:val="en-US" w:eastAsia="zh-CN"/>
              </w:rPr>
            </w:pPr>
            <w:r>
              <w:rPr>
                <w:rFonts w:hint="eastAsia" w:hAnsi="宋体"/>
                <w:szCs w:val="21"/>
                <w:highlight w:val="none"/>
                <w:lang w:val="en-US" w:eastAsia="zh-CN"/>
              </w:rPr>
              <w:t>工作温度：-40</w:t>
            </w:r>
            <w:r>
              <w:rPr>
                <w:rFonts w:hint="eastAsia" w:ascii="宋体" w:hAnsi="宋体" w:eastAsia="宋体"/>
                <w:szCs w:val="21"/>
                <w:highlight w:val="none"/>
                <w:lang w:eastAsia="zh-CN"/>
              </w:rPr>
              <w:t>至</w:t>
            </w:r>
            <w:r>
              <w:rPr>
                <w:rFonts w:hint="eastAsia" w:hAnsi="宋体"/>
                <w:szCs w:val="21"/>
                <w:highlight w:val="none"/>
                <w:lang w:val="en-US" w:eastAsia="zh-CN"/>
              </w:rPr>
              <w:t>80℃</w:t>
            </w:r>
          </w:p>
          <w:p>
            <w:pPr>
              <w:pStyle w:val="10"/>
              <w:adjustRightInd w:val="0"/>
              <w:snapToGrid w:val="0"/>
              <w:spacing w:line="240" w:lineRule="auto"/>
              <w:rPr>
                <w:rFonts w:hint="eastAsia" w:hAnsi="宋体"/>
                <w:szCs w:val="21"/>
                <w:highlight w:val="none"/>
                <w:lang w:val="en-US" w:eastAsia="zh-CN"/>
              </w:rPr>
            </w:pPr>
            <w:r>
              <w:rPr>
                <w:rFonts w:hint="eastAsia" w:hAnsi="宋体"/>
                <w:szCs w:val="21"/>
                <w:highlight w:val="none"/>
                <w:lang w:eastAsia="zh-CN"/>
              </w:rPr>
              <w:t>可连接磁感应传感器数量：</w:t>
            </w:r>
            <w:r>
              <w:rPr>
                <w:rFonts w:hint="eastAsia" w:hAnsi="宋体"/>
                <w:szCs w:val="21"/>
                <w:highlight w:val="none"/>
                <w:lang w:val="en-US" w:eastAsia="zh-CN"/>
              </w:rPr>
              <w:t>3</w:t>
            </w:r>
          </w:p>
          <w:p>
            <w:pPr>
              <w:pStyle w:val="10"/>
              <w:adjustRightInd w:val="0"/>
              <w:snapToGrid w:val="0"/>
              <w:spacing w:line="240" w:lineRule="auto"/>
              <w:rPr>
                <w:rFonts w:hint="eastAsia" w:hAnsi="宋体"/>
                <w:szCs w:val="21"/>
                <w:highlight w:val="none"/>
                <w:lang w:val="en-US" w:eastAsia="zh-CN"/>
              </w:rPr>
            </w:pPr>
            <w:r>
              <w:rPr>
                <w:rFonts w:hint="eastAsia" w:hAnsi="宋体"/>
                <w:szCs w:val="21"/>
                <w:highlight w:val="none"/>
                <w:lang w:val="en-US" w:eastAsia="zh-CN"/>
              </w:rPr>
              <w:t>开出数量：4</w:t>
            </w:r>
          </w:p>
          <w:p>
            <w:pPr>
              <w:pStyle w:val="10"/>
              <w:adjustRightInd w:val="0"/>
              <w:snapToGrid w:val="0"/>
              <w:spacing w:line="240" w:lineRule="auto"/>
              <w:rPr>
                <w:rFonts w:hint="default" w:hAnsi="宋体"/>
                <w:szCs w:val="21"/>
                <w:highlight w:val="none"/>
                <w:lang w:val="en-US" w:eastAsia="zh-CN"/>
              </w:rPr>
            </w:pPr>
            <w:r>
              <w:rPr>
                <w:rFonts w:hint="eastAsia" w:hAnsi="宋体"/>
                <w:szCs w:val="21"/>
                <w:highlight w:val="none"/>
                <w:lang w:val="en-US" w:eastAsia="zh-CN"/>
              </w:rPr>
              <w:t>通讯接口：RS485</w:t>
            </w:r>
          </w:p>
          <w:p>
            <w:pPr>
              <w:pStyle w:val="10"/>
              <w:adjustRightInd w:val="0"/>
              <w:snapToGrid w:val="0"/>
              <w:spacing w:line="240" w:lineRule="auto"/>
              <w:rPr>
                <w:rFonts w:hint="default" w:hAnsi="宋体" w:eastAsia="宋体"/>
                <w:szCs w:val="21"/>
                <w:highlight w:val="none"/>
                <w:lang w:val="en-US" w:eastAsia="zh-CN"/>
              </w:rPr>
            </w:pPr>
            <w:r>
              <w:rPr>
                <w:rFonts w:hint="eastAsia" w:hAnsi="宋体"/>
                <w:szCs w:val="21"/>
                <w:highlight w:val="none"/>
              </w:rPr>
              <w:t>防护等级：IP</w:t>
            </w:r>
            <w:r>
              <w:rPr>
                <w:rFonts w:hint="eastAsia" w:hAnsi="宋体"/>
                <w:szCs w:val="21"/>
                <w:highlight w:val="none"/>
                <w:lang w:val="en-US" w:eastAsia="zh-CN"/>
              </w:rPr>
              <w:t>41</w:t>
            </w:r>
          </w:p>
          <w:p>
            <w:pPr>
              <w:pStyle w:val="10"/>
              <w:adjustRightInd w:val="0"/>
              <w:snapToGrid w:val="0"/>
              <w:spacing w:line="240" w:lineRule="auto"/>
              <w:rPr>
                <w:rFonts w:hint="eastAsia" w:hAnsi="宋体"/>
                <w:szCs w:val="21"/>
                <w:highlight w:val="none"/>
                <w:lang w:val="en-US" w:eastAsia="zh-CN"/>
              </w:rPr>
            </w:pPr>
            <w:r>
              <w:rPr>
                <w:rFonts w:hint="eastAsia" w:hAnsi="宋体"/>
                <w:szCs w:val="21"/>
                <w:highlight w:val="none"/>
                <w:lang w:eastAsia="zh-CN"/>
              </w:rPr>
              <w:t>供电电源：</w:t>
            </w:r>
            <w:r>
              <w:rPr>
                <w:rFonts w:hint="eastAsia" w:hAnsi="宋体"/>
                <w:szCs w:val="21"/>
                <w:highlight w:val="none"/>
                <w:lang w:val="en-US" w:eastAsia="zh-CN"/>
              </w:rPr>
              <w:t>AC/DC 85～264</w:t>
            </w:r>
          </w:p>
          <w:p>
            <w:pPr>
              <w:pStyle w:val="10"/>
              <w:adjustRightInd w:val="0"/>
              <w:snapToGrid w:val="0"/>
              <w:spacing w:line="240" w:lineRule="auto"/>
              <w:rPr>
                <w:rFonts w:hint="eastAsia" w:hAnsi="宋体"/>
                <w:szCs w:val="21"/>
                <w:highlight w:val="none"/>
                <w:lang w:eastAsia="zh-CN"/>
              </w:rPr>
            </w:pPr>
            <w:r>
              <w:rPr>
                <w:rFonts w:hint="eastAsia" w:hAnsi="宋体"/>
                <w:szCs w:val="21"/>
                <w:highlight w:val="none"/>
                <w:lang w:eastAsia="zh-CN"/>
              </w:rPr>
              <w:t>输出信号：开关量、</w:t>
            </w:r>
            <w:r>
              <w:rPr>
                <w:rFonts w:hint="eastAsia" w:hAnsi="宋体"/>
                <w:szCs w:val="21"/>
                <w:highlight w:val="none"/>
                <w:lang w:val="en-US" w:eastAsia="zh-CN"/>
              </w:rPr>
              <w:t>RS485</w:t>
            </w:r>
          </w:p>
          <w:p>
            <w:pPr>
              <w:pStyle w:val="10"/>
              <w:adjustRightInd w:val="0"/>
              <w:snapToGrid w:val="0"/>
              <w:spacing w:line="240" w:lineRule="auto"/>
              <w:rPr>
                <w:rFonts w:hint="eastAsia" w:hAnsi="宋体"/>
                <w:szCs w:val="21"/>
                <w:highlight w:val="none"/>
              </w:rPr>
            </w:pPr>
            <w:r>
              <w:rPr>
                <w:rFonts w:hint="eastAsia" w:hAnsi="宋体"/>
                <w:szCs w:val="21"/>
                <w:highlight w:val="none"/>
                <w:lang w:eastAsia="zh-CN"/>
              </w:rPr>
              <w:t>安装方式：卡轨式</w:t>
            </w:r>
          </w:p>
        </w:tc>
        <w:tc>
          <w:tcPr>
            <w:tcW w:w="1309" w:type="dxa"/>
            <w:noWrap w:val="0"/>
            <w:vAlign w:val="center"/>
          </w:tcPr>
          <w:p>
            <w:pPr>
              <w:pStyle w:val="10"/>
              <w:adjustRightInd w:val="0"/>
              <w:snapToGrid w:val="0"/>
              <w:spacing w:line="240" w:lineRule="auto"/>
              <w:jc w:val="center"/>
              <w:rPr>
                <w:rFonts w:hint="default" w:hAnsi="宋体"/>
                <w:szCs w:val="21"/>
                <w:highlight w:val="none"/>
                <w:lang w:val="en-US" w:eastAsia="zh-CN"/>
              </w:rPr>
            </w:pPr>
            <w:r>
              <w:rPr>
                <w:rFonts w:hint="eastAsia" w:hAnsi="宋体"/>
                <w:szCs w:val="21"/>
                <w:highlight w:val="none"/>
                <w:lang w:val="en-US" w:eastAsia="zh-CN"/>
              </w:rPr>
              <w:t xml:space="preserve">为电磁锁配件类型1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8" w:hRule="atLeast"/>
          <w:jc w:val="center"/>
        </w:trPr>
        <w:tc>
          <w:tcPr>
            <w:tcW w:w="732" w:type="dxa"/>
            <w:noWrap w:val="0"/>
            <w:vAlign w:val="center"/>
          </w:tcPr>
          <w:p>
            <w:pPr>
              <w:pStyle w:val="10"/>
              <w:adjustRightInd w:val="0"/>
              <w:snapToGrid w:val="0"/>
              <w:spacing w:line="240" w:lineRule="auto"/>
              <w:jc w:val="center"/>
              <w:rPr>
                <w:rFonts w:hint="default" w:hAnsi="宋体" w:eastAsia="宋体"/>
                <w:szCs w:val="21"/>
                <w:highlight w:val="none"/>
                <w:lang w:val="en-US" w:eastAsia="zh-CN"/>
              </w:rPr>
            </w:pPr>
            <w:r>
              <w:rPr>
                <w:rFonts w:hint="eastAsia" w:hAnsi="宋体"/>
                <w:szCs w:val="21"/>
                <w:highlight w:val="none"/>
                <w:lang w:val="en-US" w:eastAsia="zh-CN"/>
              </w:rPr>
              <w:t>1.2</w:t>
            </w:r>
          </w:p>
        </w:tc>
        <w:tc>
          <w:tcPr>
            <w:tcW w:w="1320" w:type="dxa"/>
            <w:noWrap w:val="0"/>
            <w:vAlign w:val="center"/>
          </w:tcPr>
          <w:p>
            <w:pPr>
              <w:pStyle w:val="10"/>
              <w:adjustRightInd w:val="0"/>
              <w:snapToGrid w:val="0"/>
              <w:spacing w:line="240" w:lineRule="auto"/>
              <w:jc w:val="center"/>
              <w:rPr>
                <w:rFonts w:hint="eastAsia" w:hAnsi="宋体"/>
                <w:szCs w:val="21"/>
                <w:highlight w:val="none"/>
                <w:lang w:eastAsia="zh-CN"/>
              </w:rPr>
            </w:pPr>
            <w:r>
              <w:rPr>
                <w:rFonts w:hint="eastAsia" w:hAnsi="宋体"/>
                <w:szCs w:val="21"/>
                <w:highlight w:val="none"/>
                <w:lang w:val="en-US" w:eastAsia="zh-CN"/>
              </w:rPr>
              <w:t>三刀闸</w:t>
            </w:r>
            <w:r>
              <w:rPr>
                <w:rFonts w:hint="eastAsia" w:hAnsi="宋体"/>
                <w:szCs w:val="21"/>
                <w:highlight w:val="none"/>
                <w:lang w:eastAsia="zh-CN"/>
              </w:rPr>
              <w:t>接收装置</w:t>
            </w:r>
          </w:p>
        </w:tc>
        <w:tc>
          <w:tcPr>
            <w:tcW w:w="4493" w:type="dxa"/>
            <w:noWrap w:val="0"/>
            <w:vAlign w:val="top"/>
          </w:tcPr>
          <w:p>
            <w:pPr>
              <w:pStyle w:val="10"/>
              <w:adjustRightInd w:val="0"/>
              <w:snapToGrid w:val="0"/>
              <w:spacing w:line="240" w:lineRule="auto"/>
              <w:rPr>
                <w:rFonts w:hint="eastAsia" w:hAnsi="宋体"/>
                <w:szCs w:val="21"/>
                <w:highlight w:val="none"/>
                <w:lang w:val="en-US" w:eastAsia="zh-CN"/>
              </w:rPr>
            </w:pPr>
            <w:r>
              <w:rPr>
                <w:rFonts w:hint="eastAsia" w:hAnsi="宋体"/>
                <w:szCs w:val="21"/>
                <w:highlight w:val="none"/>
                <w:lang w:eastAsia="zh-CN"/>
              </w:rPr>
              <w:t>响应时间：＜</w:t>
            </w:r>
            <w:r>
              <w:rPr>
                <w:rFonts w:hint="eastAsia" w:hAnsi="宋体"/>
                <w:szCs w:val="21"/>
                <w:highlight w:val="none"/>
                <w:lang w:val="en-US" w:eastAsia="zh-CN"/>
              </w:rPr>
              <w:t>500ms</w:t>
            </w:r>
          </w:p>
          <w:p>
            <w:pPr>
              <w:pStyle w:val="10"/>
              <w:adjustRightInd w:val="0"/>
              <w:snapToGrid w:val="0"/>
              <w:spacing w:line="240" w:lineRule="auto"/>
              <w:rPr>
                <w:rFonts w:hint="eastAsia" w:hAnsi="宋体"/>
                <w:szCs w:val="21"/>
                <w:highlight w:val="none"/>
                <w:lang w:val="en-US" w:eastAsia="zh-CN"/>
              </w:rPr>
            </w:pPr>
            <w:r>
              <w:rPr>
                <w:rFonts w:hint="eastAsia" w:hAnsi="宋体"/>
                <w:szCs w:val="21"/>
                <w:highlight w:val="none"/>
                <w:lang w:val="en-US" w:eastAsia="zh-CN"/>
              </w:rPr>
              <w:t>工作温度：-40</w:t>
            </w:r>
            <w:r>
              <w:rPr>
                <w:rFonts w:hint="eastAsia" w:ascii="宋体" w:hAnsi="宋体" w:eastAsia="宋体"/>
                <w:szCs w:val="21"/>
                <w:highlight w:val="none"/>
                <w:lang w:eastAsia="zh-CN"/>
              </w:rPr>
              <w:t>至</w:t>
            </w:r>
            <w:r>
              <w:rPr>
                <w:rFonts w:hint="eastAsia" w:hAnsi="宋体"/>
                <w:szCs w:val="21"/>
                <w:highlight w:val="none"/>
                <w:lang w:val="en-US" w:eastAsia="zh-CN"/>
              </w:rPr>
              <w:t>80℃</w:t>
            </w:r>
          </w:p>
          <w:p>
            <w:pPr>
              <w:pStyle w:val="10"/>
              <w:adjustRightInd w:val="0"/>
              <w:snapToGrid w:val="0"/>
              <w:spacing w:line="240" w:lineRule="auto"/>
              <w:rPr>
                <w:rFonts w:hint="default" w:hAnsi="宋体"/>
                <w:szCs w:val="21"/>
                <w:highlight w:val="none"/>
                <w:lang w:val="en-US" w:eastAsia="zh-CN"/>
              </w:rPr>
            </w:pPr>
            <w:r>
              <w:rPr>
                <w:rFonts w:hint="eastAsia" w:hAnsi="宋体"/>
                <w:szCs w:val="21"/>
                <w:highlight w:val="none"/>
                <w:lang w:eastAsia="zh-CN"/>
              </w:rPr>
              <w:t>可连接磁感应传感器数量：</w:t>
            </w:r>
            <w:r>
              <w:rPr>
                <w:rFonts w:hint="eastAsia" w:hAnsi="宋体"/>
                <w:szCs w:val="21"/>
                <w:highlight w:val="none"/>
                <w:lang w:val="en-US" w:eastAsia="zh-CN"/>
              </w:rPr>
              <w:t>9</w:t>
            </w:r>
          </w:p>
          <w:p>
            <w:pPr>
              <w:pStyle w:val="10"/>
              <w:adjustRightInd w:val="0"/>
              <w:snapToGrid w:val="0"/>
              <w:spacing w:line="240" w:lineRule="auto"/>
              <w:rPr>
                <w:rFonts w:hint="default" w:hAnsi="宋体"/>
                <w:szCs w:val="21"/>
                <w:highlight w:val="none"/>
                <w:lang w:val="en-US" w:eastAsia="zh-CN"/>
              </w:rPr>
            </w:pPr>
            <w:r>
              <w:rPr>
                <w:rFonts w:hint="eastAsia" w:hAnsi="宋体"/>
                <w:szCs w:val="21"/>
                <w:highlight w:val="none"/>
                <w:lang w:val="en-US" w:eastAsia="zh-CN"/>
              </w:rPr>
              <w:t>开出数量：12</w:t>
            </w:r>
          </w:p>
          <w:p>
            <w:pPr>
              <w:pStyle w:val="10"/>
              <w:adjustRightInd w:val="0"/>
              <w:snapToGrid w:val="0"/>
              <w:spacing w:line="240" w:lineRule="auto"/>
              <w:rPr>
                <w:rFonts w:hint="default" w:hAnsi="宋体"/>
                <w:szCs w:val="21"/>
                <w:highlight w:val="none"/>
                <w:lang w:val="en-US" w:eastAsia="zh-CN"/>
              </w:rPr>
            </w:pPr>
            <w:r>
              <w:rPr>
                <w:rFonts w:hint="eastAsia" w:hAnsi="宋体"/>
                <w:szCs w:val="21"/>
                <w:highlight w:val="none"/>
                <w:lang w:val="en-US" w:eastAsia="zh-CN"/>
              </w:rPr>
              <w:t>通讯接口：RS485</w:t>
            </w:r>
          </w:p>
          <w:p>
            <w:pPr>
              <w:pStyle w:val="10"/>
              <w:adjustRightInd w:val="0"/>
              <w:snapToGrid w:val="0"/>
              <w:spacing w:line="240" w:lineRule="auto"/>
              <w:rPr>
                <w:rFonts w:hint="default" w:hAnsi="宋体" w:eastAsia="宋体"/>
                <w:szCs w:val="21"/>
                <w:highlight w:val="none"/>
                <w:lang w:val="en-US" w:eastAsia="zh-CN"/>
              </w:rPr>
            </w:pPr>
            <w:r>
              <w:rPr>
                <w:rFonts w:hint="eastAsia" w:hAnsi="宋体"/>
                <w:szCs w:val="21"/>
                <w:highlight w:val="none"/>
              </w:rPr>
              <w:t>防护等级：IP</w:t>
            </w:r>
            <w:r>
              <w:rPr>
                <w:rFonts w:hint="eastAsia" w:hAnsi="宋体"/>
                <w:szCs w:val="21"/>
                <w:highlight w:val="none"/>
                <w:lang w:val="en-US" w:eastAsia="zh-CN"/>
              </w:rPr>
              <w:t>41</w:t>
            </w:r>
          </w:p>
          <w:p>
            <w:pPr>
              <w:pStyle w:val="10"/>
              <w:adjustRightInd w:val="0"/>
              <w:snapToGrid w:val="0"/>
              <w:spacing w:line="240" w:lineRule="auto"/>
              <w:rPr>
                <w:rFonts w:hint="eastAsia" w:hAnsi="宋体"/>
                <w:szCs w:val="21"/>
                <w:highlight w:val="none"/>
                <w:lang w:val="en-US" w:eastAsia="zh-CN"/>
              </w:rPr>
            </w:pPr>
            <w:r>
              <w:rPr>
                <w:rFonts w:hint="eastAsia" w:hAnsi="宋体"/>
                <w:szCs w:val="21"/>
                <w:highlight w:val="none"/>
                <w:lang w:eastAsia="zh-CN"/>
              </w:rPr>
              <w:t>供电电源：</w:t>
            </w:r>
            <w:r>
              <w:rPr>
                <w:rFonts w:hint="eastAsia" w:hAnsi="宋体"/>
                <w:szCs w:val="21"/>
                <w:highlight w:val="none"/>
                <w:lang w:val="en-US" w:eastAsia="zh-CN"/>
              </w:rPr>
              <w:t>AC/DC 85～264</w:t>
            </w:r>
          </w:p>
          <w:p>
            <w:pPr>
              <w:pStyle w:val="10"/>
              <w:adjustRightInd w:val="0"/>
              <w:snapToGrid w:val="0"/>
              <w:spacing w:line="240" w:lineRule="auto"/>
              <w:rPr>
                <w:rFonts w:hint="eastAsia" w:hAnsi="宋体"/>
                <w:szCs w:val="21"/>
                <w:highlight w:val="none"/>
                <w:lang w:eastAsia="zh-CN"/>
              </w:rPr>
            </w:pPr>
            <w:r>
              <w:rPr>
                <w:rFonts w:hint="eastAsia" w:hAnsi="宋体"/>
                <w:szCs w:val="21"/>
                <w:highlight w:val="none"/>
                <w:lang w:eastAsia="zh-CN"/>
              </w:rPr>
              <w:t>输出信号：开关量、</w:t>
            </w:r>
            <w:r>
              <w:rPr>
                <w:rFonts w:hint="eastAsia" w:hAnsi="宋体"/>
                <w:szCs w:val="21"/>
                <w:highlight w:val="none"/>
                <w:lang w:val="en-US" w:eastAsia="zh-CN"/>
              </w:rPr>
              <w:t>RS485</w:t>
            </w:r>
          </w:p>
          <w:p>
            <w:pPr>
              <w:pStyle w:val="10"/>
              <w:adjustRightInd w:val="0"/>
              <w:snapToGrid w:val="0"/>
              <w:spacing w:line="240" w:lineRule="auto"/>
              <w:rPr>
                <w:rFonts w:hint="eastAsia" w:hAnsi="宋体"/>
                <w:szCs w:val="21"/>
                <w:highlight w:val="none"/>
                <w:lang w:eastAsia="zh-CN"/>
              </w:rPr>
            </w:pPr>
            <w:r>
              <w:rPr>
                <w:rFonts w:hint="eastAsia" w:hAnsi="宋体"/>
                <w:szCs w:val="21"/>
                <w:highlight w:val="none"/>
                <w:lang w:eastAsia="zh-CN"/>
              </w:rPr>
              <w:t>安装方式：卡轨式</w:t>
            </w:r>
          </w:p>
        </w:tc>
        <w:tc>
          <w:tcPr>
            <w:tcW w:w="1309" w:type="dxa"/>
            <w:noWrap w:val="0"/>
            <w:vAlign w:val="center"/>
          </w:tcPr>
          <w:p>
            <w:pPr>
              <w:pStyle w:val="10"/>
              <w:adjustRightInd w:val="0"/>
              <w:snapToGrid w:val="0"/>
              <w:spacing w:line="240" w:lineRule="auto"/>
              <w:jc w:val="center"/>
              <w:rPr>
                <w:rFonts w:hint="eastAsia" w:hAnsi="宋体"/>
                <w:szCs w:val="21"/>
                <w:highlight w:val="none"/>
                <w:lang w:eastAsia="zh-CN"/>
              </w:rPr>
            </w:pPr>
            <w:r>
              <w:rPr>
                <w:rFonts w:hint="eastAsia" w:hAnsi="宋体"/>
                <w:szCs w:val="21"/>
                <w:highlight w:val="none"/>
                <w:lang w:val="en-US" w:eastAsia="zh-CN"/>
              </w:rPr>
              <w:t>为电磁锁配件类型2</w:t>
            </w:r>
          </w:p>
        </w:tc>
      </w:tr>
    </w:tbl>
    <w:p>
      <w:pPr>
        <w:pStyle w:val="45"/>
        <w:keepNext w:val="0"/>
        <w:keepLines w:val="0"/>
        <w:pageBreakBefore w:val="0"/>
        <w:widowControl/>
        <w:kinsoku/>
        <w:wordWrap/>
        <w:overflowPunct/>
        <w:topLinePunct w:val="0"/>
        <w:autoSpaceDE/>
        <w:autoSpaceDN/>
        <w:bidi w:val="0"/>
        <w:adjustRightInd/>
        <w:snapToGrid/>
        <w:spacing w:before="0" w:after="0" w:line="580" w:lineRule="exact"/>
        <w:textAlignment w:val="auto"/>
        <w:rPr>
          <w:rFonts w:hint="eastAsia" w:ascii="宋体" w:hAnsi="宋体" w:eastAsia="宋体" w:cs="宋体"/>
          <w:b/>
          <w:bCs w:val="0"/>
          <w:spacing w:val="8"/>
          <w:kern w:val="2"/>
          <w:sz w:val="21"/>
          <w:szCs w:val="21"/>
          <w:highlight w:val="none"/>
          <w:lang w:val="en-US" w:eastAsia="zh-CN" w:bidi="ar-SA"/>
        </w:rPr>
      </w:pPr>
    </w:p>
    <w:p>
      <w:pPr>
        <w:pStyle w:val="5"/>
        <w:keepNext/>
        <w:keepLines w:val="0"/>
        <w:pageBreakBefore w:val="0"/>
        <w:widowControl/>
        <w:numPr>
          <w:ilvl w:val="0"/>
          <w:numId w:val="2"/>
        </w:numPr>
        <w:kinsoku/>
        <w:wordWrap/>
        <w:overflowPunct w:val="0"/>
        <w:topLinePunct w:val="0"/>
        <w:autoSpaceDE w:val="0"/>
        <w:autoSpaceDN w:val="0"/>
        <w:bidi w:val="0"/>
        <w:adjustRightInd w:val="0"/>
        <w:snapToGrid/>
        <w:ind w:left="0" w:leftChars="0" w:firstLine="422" w:firstLineChars="200"/>
        <w:textAlignment w:val="baseline"/>
        <w:outlineLvl w:val="0"/>
        <w:rPr>
          <w:rFonts w:hint="eastAsia" w:ascii="Times New Roman" w:hAnsi="Times New Roman" w:cs="Times New Roman"/>
          <w:b/>
          <w:bCs/>
          <w:color w:val="auto"/>
          <w:highlight w:val="none"/>
          <w:lang w:val="en-US" w:eastAsia="zh-CN"/>
        </w:rPr>
      </w:pPr>
      <w:bookmarkStart w:id="80" w:name="_Toc29459"/>
      <w:r>
        <w:rPr>
          <w:rFonts w:hint="eastAsia" w:ascii="Times New Roman" w:hAnsi="Times New Roman" w:cs="Times New Roman"/>
          <w:b/>
          <w:bCs/>
          <w:color w:val="auto"/>
          <w:highlight w:val="none"/>
          <w:lang w:val="en-US" w:eastAsia="zh-CN"/>
        </w:rPr>
        <w:t>项目需求部分</w:t>
      </w:r>
      <w:bookmarkEnd w:id="80"/>
    </w:p>
    <w:p>
      <w:pPr>
        <w:keepNext w:val="0"/>
        <w:keepLines w:val="0"/>
        <w:pageBreakBefore w:val="0"/>
        <w:widowControl w:val="0"/>
        <w:kinsoku/>
        <w:wordWrap/>
        <w:overflowPunct/>
        <w:topLinePunct/>
        <w:autoSpaceDE/>
        <w:autoSpaceDN/>
        <w:bidi w:val="0"/>
        <w:adjustRightInd/>
        <w:snapToGrid/>
        <w:spacing w:line="580" w:lineRule="exact"/>
        <w:ind w:firstLine="480" w:firstLineChars="200"/>
        <w:textAlignment w:val="auto"/>
        <w:outlineLvl w:val="1"/>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eastAsia="zh-CN"/>
        </w:rPr>
        <w:t>.1</w:t>
      </w:r>
      <w:r>
        <w:rPr>
          <w:rFonts w:hint="eastAsia" w:ascii="宋体" w:hAnsi="宋体" w:eastAsia="宋体" w:cs="宋体"/>
          <w:color w:val="000000"/>
          <w:sz w:val="24"/>
          <w:szCs w:val="24"/>
          <w:highlight w:val="none"/>
          <w:lang w:val="en-US" w:eastAsia="zh-CN"/>
        </w:rPr>
        <w:t xml:space="preserve"> </w:t>
      </w:r>
      <w:r>
        <w:rPr>
          <w:rFonts w:hint="eastAsia" w:ascii="宋体" w:hAnsi="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lang w:eastAsia="zh-CN"/>
        </w:rPr>
        <w:t>货物需求及供货配置</w:t>
      </w:r>
    </w:p>
    <w:p>
      <w:pPr>
        <w:keepNext w:val="0"/>
        <w:keepLines w:val="0"/>
        <w:pageBreakBefore w:val="0"/>
        <w:widowControl w:val="0"/>
        <w:kinsoku/>
        <w:wordWrap/>
        <w:overflowPunct/>
        <w:topLinePunct/>
        <w:autoSpaceDE/>
        <w:autoSpaceDN/>
        <w:bidi w:val="0"/>
        <w:adjustRightInd/>
        <w:snapToGrid/>
        <w:spacing w:line="580" w:lineRule="exact"/>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货物需求及供货配置一览表见表</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w:t>
      </w:r>
    </w:p>
    <w:p>
      <w:pPr>
        <w:tabs>
          <w:tab w:val="center" w:pos="4706"/>
          <w:tab w:val="right" w:pos="9044"/>
        </w:tabs>
        <w:topLinePunct/>
        <w:spacing w:before="160" w:after="60" w:line="312" w:lineRule="exact"/>
        <w:jc w:val="center"/>
        <w:rPr>
          <w:rFonts w:hint="eastAsia" w:ascii="宋体" w:hAnsi="宋体" w:eastAsia="宋体" w:cs="宋体"/>
          <w:b/>
          <w:bCs w:val="0"/>
          <w:spacing w:val="8"/>
          <w:kern w:val="2"/>
          <w:sz w:val="21"/>
          <w:szCs w:val="21"/>
          <w:highlight w:val="none"/>
          <w:lang w:val="en-US" w:eastAsia="zh-CN" w:bidi="ar-SA"/>
        </w:rPr>
      </w:pPr>
      <w:r>
        <w:rPr>
          <w:rFonts w:hint="eastAsia" w:ascii="宋体" w:hAnsi="宋体" w:eastAsia="宋体" w:cs="宋体"/>
          <w:b/>
          <w:bCs w:val="0"/>
          <w:spacing w:val="8"/>
          <w:kern w:val="2"/>
          <w:sz w:val="21"/>
          <w:szCs w:val="21"/>
          <w:highlight w:val="none"/>
          <w:lang w:val="en-US" w:eastAsia="zh-CN" w:bidi="ar-SA"/>
        </w:rPr>
        <w:t>表5 货物需求及供货配置一览表</w:t>
      </w:r>
    </w:p>
    <w:tbl>
      <w:tblPr>
        <w:tblStyle w:val="20"/>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615"/>
        <w:gridCol w:w="1530"/>
        <w:gridCol w:w="664"/>
        <w:gridCol w:w="1382"/>
        <w:gridCol w:w="1382"/>
        <w:gridCol w:w="1382"/>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vMerge w:val="restart"/>
            <w:noWrap w:val="0"/>
            <w:vAlign w:val="center"/>
          </w:tcPr>
          <w:p>
            <w:pPr>
              <w:topLinePunct/>
              <w:snapToGrid w:val="0"/>
              <w:spacing w:before="83" w:beforeLines="26" w:after="83" w:afterLines="26"/>
              <w:jc w:val="center"/>
              <w:rPr>
                <w:rFonts w:hint="default"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项目名称</w:t>
            </w:r>
          </w:p>
        </w:tc>
        <w:tc>
          <w:tcPr>
            <w:tcW w:w="615" w:type="dxa"/>
            <w:vMerge w:val="restart"/>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序号</w:t>
            </w:r>
          </w:p>
        </w:tc>
        <w:tc>
          <w:tcPr>
            <w:tcW w:w="1530" w:type="dxa"/>
            <w:vMerge w:val="restart"/>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产品名称</w:t>
            </w:r>
          </w:p>
        </w:tc>
        <w:tc>
          <w:tcPr>
            <w:tcW w:w="664" w:type="dxa"/>
            <w:vMerge w:val="restart"/>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单位</w:t>
            </w:r>
          </w:p>
        </w:tc>
        <w:tc>
          <w:tcPr>
            <w:tcW w:w="2764" w:type="dxa"/>
            <w:gridSpan w:val="2"/>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招标单位要求</w:t>
            </w:r>
          </w:p>
        </w:tc>
        <w:tc>
          <w:tcPr>
            <w:tcW w:w="2765" w:type="dxa"/>
            <w:gridSpan w:val="2"/>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投标人响应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2" w:hRule="atLeast"/>
          <w:jc w:val="center"/>
        </w:trPr>
        <w:tc>
          <w:tcPr>
            <w:tcW w:w="1092" w:type="dxa"/>
            <w:vMerge w:val="continue"/>
            <w:noWrap w:val="0"/>
            <w:vAlign w:val="center"/>
          </w:tcPr>
          <w:p>
            <w:pPr>
              <w:topLinePunct/>
              <w:snapToGrid w:val="0"/>
              <w:spacing w:before="83" w:beforeLines="26" w:after="83" w:afterLines="26"/>
              <w:jc w:val="center"/>
              <w:rPr>
                <w:rFonts w:hint="eastAsia" w:ascii="宋体" w:hAnsi="宋体" w:eastAsia="宋体" w:cs="宋体"/>
                <w:b/>
                <w:bCs/>
                <w:color w:val="000000"/>
                <w:kern w:val="2"/>
                <w:sz w:val="21"/>
                <w:szCs w:val="21"/>
                <w:highlight w:val="none"/>
                <w:lang w:val="en-US" w:eastAsia="zh-CN" w:bidi="ar-SA"/>
              </w:rPr>
            </w:pPr>
          </w:p>
        </w:tc>
        <w:tc>
          <w:tcPr>
            <w:tcW w:w="615" w:type="dxa"/>
            <w:vMerge w:val="continue"/>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p>
        </w:tc>
        <w:tc>
          <w:tcPr>
            <w:tcW w:w="1530" w:type="dxa"/>
            <w:vMerge w:val="continue"/>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p>
        </w:tc>
        <w:tc>
          <w:tcPr>
            <w:tcW w:w="664" w:type="dxa"/>
            <w:vMerge w:val="continue"/>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p>
        </w:tc>
        <w:tc>
          <w:tcPr>
            <w:tcW w:w="1382" w:type="dxa"/>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产品</w:t>
            </w:r>
          </w:p>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型号</w:t>
            </w:r>
          </w:p>
        </w:tc>
        <w:tc>
          <w:tcPr>
            <w:tcW w:w="1382" w:type="dxa"/>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数量</w:t>
            </w:r>
          </w:p>
        </w:tc>
        <w:tc>
          <w:tcPr>
            <w:tcW w:w="1382" w:type="dxa"/>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产品</w:t>
            </w:r>
          </w:p>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型号</w:t>
            </w:r>
          </w:p>
        </w:tc>
        <w:tc>
          <w:tcPr>
            <w:tcW w:w="1383" w:type="dxa"/>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220kV崖城站</w:t>
            </w:r>
          </w:p>
        </w:tc>
        <w:tc>
          <w:tcPr>
            <w:tcW w:w="615"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30"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cs="宋体"/>
                <w:color w:val="auto"/>
                <w:sz w:val="24"/>
                <w:szCs w:val="24"/>
                <w:highlight w:val="none"/>
                <w:lang w:val="en-US" w:eastAsia="zh-CN"/>
              </w:rPr>
              <w:t>电磁锁</w:t>
            </w:r>
          </w:p>
        </w:tc>
        <w:tc>
          <w:tcPr>
            <w:tcW w:w="664"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套</w:t>
            </w: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116</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220kV新安站</w:t>
            </w:r>
          </w:p>
        </w:tc>
        <w:tc>
          <w:tcPr>
            <w:tcW w:w="615"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30" w:type="dxa"/>
            <w:noWrap w:val="0"/>
            <w:vAlign w:val="center"/>
          </w:tcPr>
          <w:p>
            <w:pPr>
              <w:topLinePunct/>
              <w:snapToGrid w:val="0"/>
              <w:spacing w:before="83" w:beforeLines="26" w:after="83" w:afterLines="26"/>
              <w:jc w:val="center"/>
              <w:rPr>
                <w:rFonts w:hint="default" w:ascii="宋体" w:hAnsi="宋体" w:eastAsia="宋体" w:cs="宋体"/>
                <w:b/>
                <w:bCs/>
                <w:color w:val="000000"/>
                <w:sz w:val="21"/>
                <w:szCs w:val="21"/>
                <w:highlight w:val="none"/>
                <w:lang w:val="en-US" w:eastAsia="zh-CN"/>
              </w:rPr>
            </w:pPr>
            <w:r>
              <w:rPr>
                <w:rFonts w:hint="eastAsia" w:ascii="宋体" w:hAnsi="宋体" w:cs="宋体"/>
                <w:color w:val="auto"/>
                <w:sz w:val="24"/>
                <w:szCs w:val="24"/>
                <w:highlight w:val="none"/>
                <w:lang w:val="en-US" w:eastAsia="zh-CN"/>
              </w:rPr>
              <w:t>电磁锁</w:t>
            </w:r>
          </w:p>
        </w:tc>
        <w:tc>
          <w:tcPr>
            <w:tcW w:w="664"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套</w:t>
            </w: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96</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220kV吉阳站</w:t>
            </w:r>
          </w:p>
        </w:tc>
        <w:tc>
          <w:tcPr>
            <w:tcW w:w="615"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30" w:type="dxa"/>
            <w:noWrap w:val="0"/>
            <w:vAlign w:val="center"/>
          </w:tcPr>
          <w:p>
            <w:pPr>
              <w:topLinePunct/>
              <w:snapToGrid w:val="0"/>
              <w:spacing w:before="83" w:beforeLines="26" w:after="83" w:afterLines="26"/>
              <w:jc w:val="center"/>
              <w:rPr>
                <w:rFonts w:hint="default" w:ascii="宋体" w:hAnsi="宋体" w:eastAsia="宋体" w:cs="宋体"/>
                <w:b/>
                <w:bCs/>
                <w:color w:val="000000"/>
                <w:sz w:val="21"/>
                <w:szCs w:val="21"/>
                <w:highlight w:val="none"/>
                <w:lang w:val="en-US" w:eastAsia="zh-CN"/>
              </w:rPr>
            </w:pPr>
            <w:r>
              <w:rPr>
                <w:rFonts w:hint="eastAsia" w:ascii="宋体" w:hAnsi="宋体" w:cs="宋体"/>
                <w:color w:val="auto"/>
                <w:sz w:val="24"/>
                <w:szCs w:val="24"/>
                <w:highlight w:val="none"/>
                <w:lang w:val="en-US" w:eastAsia="zh-CN"/>
              </w:rPr>
              <w:t>电磁锁</w:t>
            </w:r>
          </w:p>
        </w:tc>
        <w:tc>
          <w:tcPr>
            <w:tcW w:w="664"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套</w:t>
            </w: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66</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220kV鹅毛岭站</w:t>
            </w:r>
          </w:p>
        </w:tc>
        <w:tc>
          <w:tcPr>
            <w:tcW w:w="615"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30" w:type="dxa"/>
            <w:noWrap w:val="0"/>
            <w:vAlign w:val="center"/>
          </w:tcPr>
          <w:p>
            <w:pPr>
              <w:topLinePunct/>
              <w:snapToGrid w:val="0"/>
              <w:spacing w:before="83" w:beforeLines="26" w:after="83" w:afterLines="26"/>
              <w:jc w:val="center"/>
              <w:rPr>
                <w:rFonts w:hint="default" w:ascii="宋体" w:hAnsi="宋体" w:eastAsia="宋体" w:cs="宋体"/>
                <w:b/>
                <w:bCs/>
                <w:color w:val="000000"/>
                <w:sz w:val="21"/>
                <w:szCs w:val="21"/>
                <w:highlight w:val="none"/>
                <w:lang w:val="en-US" w:eastAsia="zh-CN"/>
              </w:rPr>
            </w:pPr>
            <w:r>
              <w:rPr>
                <w:rFonts w:hint="eastAsia" w:ascii="宋体" w:hAnsi="宋体" w:cs="宋体"/>
                <w:color w:val="auto"/>
                <w:sz w:val="24"/>
                <w:szCs w:val="24"/>
                <w:highlight w:val="none"/>
                <w:lang w:val="en-US" w:eastAsia="zh-CN"/>
              </w:rPr>
              <w:t>电磁锁</w:t>
            </w:r>
          </w:p>
        </w:tc>
        <w:tc>
          <w:tcPr>
            <w:tcW w:w="664"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套</w:t>
            </w: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39</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220kV大茅站</w:t>
            </w:r>
          </w:p>
        </w:tc>
        <w:tc>
          <w:tcPr>
            <w:tcW w:w="615"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30" w:type="dxa"/>
            <w:noWrap w:val="0"/>
            <w:vAlign w:val="center"/>
          </w:tcPr>
          <w:p>
            <w:pPr>
              <w:topLinePunct/>
              <w:snapToGrid w:val="0"/>
              <w:spacing w:before="83" w:beforeLines="26" w:after="83" w:afterLines="26"/>
              <w:jc w:val="center"/>
              <w:rPr>
                <w:rFonts w:hint="default" w:ascii="宋体" w:hAnsi="宋体" w:eastAsia="宋体" w:cs="宋体"/>
                <w:b/>
                <w:bCs/>
                <w:color w:val="000000"/>
                <w:sz w:val="21"/>
                <w:szCs w:val="21"/>
                <w:highlight w:val="none"/>
                <w:lang w:val="en-US" w:eastAsia="zh-CN"/>
              </w:rPr>
            </w:pPr>
            <w:r>
              <w:rPr>
                <w:rFonts w:hint="eastAsia" w:ascii="宋体" w:hAnsi="宋体" w:cs="宋体"/>
                <w:color w:val="auto"/>
                <w:sz w:val="24"/>
                <w:szCs w:val="24"/>
                <w:highlight w:val="none"/>
                <w:lang w:val="en-US" w:eastAsia="zh-CN"/>
              </w:rPr>
              <w:t>电磁锁</w:t>
            </w:r>
          </w:p>
        </w:tc>
        <w:tc>
          <w:tcPr>
            <w:tcW w:w="664"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套</w:t>
            </w: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48</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220kV昌江站</w:t>
            </w:r>
          </w:p>
        </w:tc>
        <w:tc>
          <w:tcPr>
            <w:tcW w:w="615"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30" w:type="dxa"/>
            <w:noWrap w:val="0"/>
            <w:vAlign w:val="center"/>
          </w:tcPr>
          <w:p>
            <w:pPr>
              <w:topLinePunct/>
              <w:snapToGrid w:val="0"/>
              <w:spacing w:before="83" w:beforeLines="26" w:after="83" w:afterLines="26"/>
              <w:jc w:val="center"/>
              <w:rPr>
                <w:rFonts w:hint="default" w:ascii="宋体" w:hAnsi="宋体" w:eastAsia="宋体" w:cs="宋体"/>
                <w:b/>
                <w:bCs/>
                <w:color w:val="000000"/>
                <w:sz w:val="21"/>
                <w:szCs w:val="21"/>
                <w:highlight w:val="none"/>
                <w:lang w:val="en-US" w:eastAsia="zh-CN"/>
              </w:rPr>
            </w:pPr>
            <w:r>
              <w:rPr>
                <w:rFonts w:hint="eastAsia" w:ascii="宋体" w:hAnsi="宋体" w:cs="宋体"/>
                <w:color w:val="auto"/>
                <w:sz w:val="24"/>
                <w:szCs w:val="24"/>
                <w:highlight w:val="none"/>
                <w:lang w:val="en-US" w:eastAsia="zh-CN"/>
              </w:rPr>
              <w:t>电磁锁</w:t>
            </w:r>
          </w:p>
        </w:tc>
        <w:tc>
          <w:tcPr>
            <w:tcW w:w="664"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套</w:t>
            </w: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84</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220kV鸭仔塘站</w:t>
            </w:r>
          </w:p>
        </w:tc>
        <w:tc>
          <w:tcPr>
            <w:tcW w:w="615"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30" w:type="dxa"/>
            <w:noWrap w:val="0"/>
            <w:vAlign w:val="center"/>
          </w:tcPr>
          <w:p>
            <w:pPr>
              <w:topLinePunct/>
              <w:snapToGrid w:val="0"/>
              <w:spacing w:before="83" w:beforeLines="26" w:after="83" w:afterLines="26"/>
              <w:jc w:val="center"/>
              <w:rPr>
                <w:rFonts w:hint="default" w:ascii="宋体" w:hAnsi="宋体" w:eastAsia="宋体" w:cs="宋体"/>
                <w:b/>
                <w:bCs/>
                <w:color w:val="000000"/>
                <w:sz w:val="21"/>
                <w:szCs w:val="21"/>
                <w:highlight w:val="none"/>
                <w:lang w:val="en-US" w:eastAsia="zh-CN"/>
              </w:rPr>
            </w:pPr>
            <w:r>
              <w:rPr>
                <w:rFonts w:hint="eastAsia" w:ascii="宋体" w:hAnsi="宋体" w:cs="宋体"/>
                <w:color w:val="auto"/>
                <w:sz w:val="24"/>
                <w:szCs w:val="24"/>
                <w:highlight w:val="none"/>
                <w:lang w:val="en-US" w:eastAsia="zh-CN"/>
              </w:rPr>
              <w:t>电磁锁</w:t>
            </w:r>
          </w:p>
        </w:tc>
        <w:tc>
          <w:tcPr>
            <w:tcW w:w="664"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套</w:t>
            </w: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42</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220kV江东站</w:t>
            </w:r>
          </w:p>
        </w:tc>
        <w:tc>
          <w:tcPr>
            <w:tcW w:w="615"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w:t>
            </w:r>
          </w:p>
        </w:tc>
        <w:tc>
          <w:tcPr>
            <w:tcW w:w="1530" w:type="dxa"/>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lang w:val="en-US" w:eastAsia="zh-CN"/>
              </w:rPr>
            </w:pPr>
            <w:r>
              <w:rPr>
                <w:rFonts w:hint="eastAsia" w:ascii="宋体" w:hAnsi="宋体" w:cs="宋体"/>
                <w:color w:val="auto"/>
                <w:sz w:val="24"/>
                <w:szCs w:val="24"/>
                <w:highlight w:val="none"/>
                <w:lang w:val="en-US" w:eastAsia="zh-CN"/>
              </w:rPr>
              <w:t>电磁锁</w:t>
            </w:r>
          </w:p>
        </w:tc>
        <w:tc>
          <w:tcPr>
            <w:tcW w:w="664"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套</w:t>
            </w: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p>
        </w:tc>
        <w:tc>
          <w:tcPr>
            <w:tcW w:w="1382"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24</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220kV平和站</w:t>
            </w:r>
          </w:p>
        </w:tc>
        <w:tc>
          <w:tcPr>
            <w:tcW w:w="615"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w:t>
            </w:r>
          </w:p>
        </w:tc>
        <w:tc>
          <w:tcPr>
            <w:tcW w:w="1530" w:type="dxa"/>
            <w:shd w:val="clear" w:color="auto" w:fill="auto"/>
            <w:noWrap w:val="0"/>
            <w:vAlign w:val="center"/>
          </w:tcPr>
          <w:p>
            <w:pPr>
              <w:topLinePunct/>
              <w:snapToGrid w:val="0"/>
              <w:spacing w:before="83" w:beforeLines="26" w:after="83" w:afterLines="26"/>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cs="宋体"/>
                <w:color w:val="auto"/>
                <w:sz w:val="24"/>
                <w:szCs w:val="24"/>
                <w:highlight w:val="none"/>
                <w:lang w:val="en-US" w:eastAsia="zh-CN"/>
              </w:rPr>
              <w:t>电磁锁</w:t>
            </w:r>
          </w:p>
        </w:tc>
        <w:tc>
          <w:tcPr>
            <w:tcW w:w="664"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lang w:val="en-US" w:eastAsia="zh-CN"/>
              </w:rPr>
              <w:t>套</w:t>
            </w: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19</w:t>
            </w:r>
          </w:p>
        </w:tc>
        <w:tc>
          <w:tcPr>
            <w:tcW w:w="138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220kV永庄站</w:t>
            </w:r>
          </w:p>
        </w:tc>
        <w:tc>
          <w:tcPr>
            <w:tcW w:w="615"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w:t>
            </w:r>
          </w:p>
        </w:tc>
        <w:tc>
          <w:tcPr>
            <w:tcW w:w="1530" w:type="dxa"/>
            <w:shd w:val="clear" w:color="auto" w:fill="auto"/>
            <w:noWrap w:val="0"/>
            <w:vAlign w:val="center"/>
          </w:tcPr>
          <w:p>
            <w:pPr>
              <w:topLinePunct/>
              <w:snapToGrid w:val="0"/>
              <w:spacing w:before="83" w:beforeLines="26" w:after="83" w:afterLines="26"/>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cs="宋体"/>
                <w:color w:val="auto"/>
                <w:sz w:val="24"/>
                <w:szCs w:val="24"/>
                <w:highlight w:val="none"/>
                <w:lang w:val="en-US" w:eastAsia="zh-CN"/>
              </w:rPr>
              <w:t>电磁锁</w:t>
            </w:r>
          </w:p>
        </w:tc>
        <w:tc>
          <w:tcPr>
            <w:tcW w:w="664"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lang w:val="en-US" w:eastAsia="zh-CN"/>
              </w:rPr>
              <w:t>套</w:t>
            </w: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26</w:t>
            </w:r>
          </w:p>
        </w:tc>
        <w:tc>
          <w:tcPr>
            <w:tcW w:w="138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220kV龙泉站</w:t>
            </w:r>
          </w:p>
        </w:tc>
        <w:tc>
          <w:tcPr>
            <w:tcW w:w="615"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w:t>
            </w:r>
          </w:p>
        </w:tc>
        <w:tc>
          <w:tcPr>
            <w:tcW w:w="1530" w:type="dxa"/>
            <w:shd w:val="clear" w:color="auto" w:fill="auto"/>
            <w:noWrap w:val="0"/>
            <w:vAlign w:val="center"/>
          </w:tcPr>
          <w:p>
            <w:pPr>
              <w:topLinePunct/>
              <w:snapToGrid w:val="0"/>
              <w:spacing w:before="83" w:beforeLines="26" w:after="83" w:afterLines="26"/>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cs="宋体"/>
                <w:color w:val="auto"/>
                <w:sz w:val="24"/>
                <w:szCs w:val="24"/>
                <w:highlight w:val="none"/>
                <w:lang w:val="en-US" w:eastAsia="zh-CN"/>
              </w:rPr>
              <w:t>电磁锁</w:t>
            </w:r>
          </w:p>
        </w:tc>
        <w:tc>
          <w:tcPr>
            <w:tcW w:w="664"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lang w:val="en-US" w:eastAsia="zh-CN"/>
              </w:rPr>
              <w:t>套</w:t>
            </w: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52</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220kV玉洲站</w:t>
            </w:r>
          </w:p>
        </w:tc>
        <w:tc>
          <w:tcPr>
            <w:tcW w:w="615"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w:t>
            </w:r>
          </w:p>
        </w:tc>
        <w:tc>
          <w:tcPr>
            <w:tcW w:w="1530" w:type="dxa"/>
            <w:shd w:val="clear" w:color="auto" w:fill="auto"/>
            <w:noWrap w:val="0"/>
            <w:vAlign w:val="center"/>
          </w:tcPr>
          <w:p>
            <w:pPr>
              <w:topLinePunct/>
              <w:snapToGrid w:val="0"/>
              <w:spacing w:before="83" w:beforeLines="26" w:after="83" w:afterLines="26"/>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cs="宋体"/>
                <w:color w:val="auto"/>
                <w:sz w:val="24"/>
                <w:szCs w:val="24"/>
                <w:highlight w:val="none"/>
                <w:lang w:val="en-US" w:eastAsia="zh-CN"/>
              </w:rPr>
              <w:t>电磁锁</w:t>
            </w:r>
          </w:p>
        </w:tc>
        <w:tc>
          <w:tcPr>
            <w:tcW w:w="664"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lang w:val="en-US" w:eastAsia="zh-CN"/>
              </w:rPr>
              <w:t>套</w:t>
            </w: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29</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110kV海口站</w:t>
            </w:r>
          </w:p>
        </w:tc>
        <w:tc>
          <w:tcPr>
            <w:tcW w:w="615"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w:t>
            </w:r>
          </w:p>
        </w:tc>
        <w:tc>
          <w:tcPr>
            <w:tcW w:w="1530" w:type="dxa"/>
            <w:shd w:val="clear" w:color="auto" w:fill="auto"/>
            <w:noWrap w:val="0"/>
            <w:vAlign w:val="center"/>
          </w:tcPr>
          <w:p>
            <w:pPr>
              <w:topLinePunct/>
              <w:snapToGrid w:val="0"/>
              <w:spacing w:before="83" w:beforeLines="26" w:after="83" w:afterLines="26"/>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cs="宋体"/>
                <w:color w:val="auto"/>
                <w:sz w:val="24"/>
                <w:szCs w:val="24"/>
                <w:highlight w:val="none"/>
                <w:lang w:val="en-US" w:eastAsia="zh-CN"/>
              </w:rPr>
              <w:t>电磁锁</w:t>
            </w:r>
          </w:p>
        </w:tc>
        <w:tc>
          <w:tcPr>
            <w:tcW w:w="664"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lang w:val="en-US" w:eastAsia="zh-CN"/>
              </w:rPr>
              <w:t>套</w:t>
            </w: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10</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110kV晋江站</w:t>
            </w:r>
          </w:p>
        </w:tc>
        <w:tc>
          <w:tcPr>
            <w:tcW w:w="615"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w:t>
            </w:r>
          </w:p>
        </w:tc>
        <w:tc>
          <w:tcPr>
            <w:tcW w:w="1530" w:type="dxa"/>
            <w:shd w:val="clear" w:color="auto" w:fill="auto"/>
            <w:noWrap w:val="0"/>
            <w:vAlign w:val="center"/>
          </w:tcPr>
          <w:p>
            <w:pPr>
              <w:topLinePunct/>
              <w:snapToGrid w:val="0"/>
              <w:spacing w:before="83" w:beforeLines="26" w:after="83" w:afterLines="26"/>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cs="宋体"/>
                <w:color w:val="auto"/>
                <w:sz w:val="24"/>
                <w:szCs w:val="24"/>
                <w:highlight w:val="none"/>
                <w:lang w:val="en-US" w:eastAsia="zh-CN"/>
              </w:rPr>
              <w:t>电磁锁</w:t>
            </w:r>
          </w:p>
        </w:tc>
        <w:tc>
          <w:tcPr>
            <w:tcW w:w="664"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lang w:val="en-US" w:eastAsia="zh-CN"/>
              </w:rPr>
              <w:t>套</w:t>
            </w: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p>
        </w:tc>
        <w:tc>
          <w:tcPr>
            <w:tcW w:w="138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10</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110kV美丽沙站</w:t>
            </w:r>
          </w:p>
        </w:tc>
        <w:tc>
          <w:tcPr>
            <w:tcW w:w="615"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w:t>
            </w:r>
          </w:p>
        </w:tc>
        <w:tc>
          <w:tcPr>
            <w:tcW w:w="1530" w:type="dxa"/>
            <w:shd w:val="clear" w:color="auto" w:fill="auto"/>
            <w:noWrap w:val="0"/>
            <w:vAlign w:val="center"/>
          </w:tcPr>
          <w:p>
            <w:pPr>
              <w:topLinePunct/>
              <w:snapToGrid w:val="0"/>
              <w:spacing w:before="83" w:beforeLines="26" w:after="83" w:afterLines="26"/>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cs="宋体"/>
                <w:color w:val="auto"/>
                <w:sz w:val="24"/>
                <w:szCs w:val="24"/>
                <w:highlight w:val="none"/>
                <w:lang w:val="en-US" w:eastAsia="zh-CN"/>
              </w:rPr>
              <w:t>电磁锁</w:t>
            </w:r>
          </w:p>
        </w:tc>
        <w:tc>
          <w:tcPr>
            <w:tcW w:w="664"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lang w:val="en-US" w:eastAsia="zh-CN"/>
              </w:rPr>
              <w:t>套</w:t>
            </w: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p>
        </w:tc>
        <w:tc>
          <w:tcPr>
            <w:tcW w:w="138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10</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kern w:val="2"/>
                <w:sz w:val="21"/>
                <w:szCs w:val="21"/>
                <w:highlight w:val="none"/>
                <w:lang w:val="en-US" w:eastAsia="zh-CN" w:bidi="ar-SA"/>
              </w:rPr>
              <w:t>110kV下洋站</w:t>
            </w:r>
          </w:p>
        </w:tc>
        <w:tc>
          <w:tcPr>
            <w:tcW w:w="615"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w:t>
            </w:r>
          </w:p>
        </w:tc>
        <w:tc>
          <w:tcPr>
            <w:tcW w:w="1530" w:type="dxa"/>
            <w:shd w:val="clear" w:color="auto" w:fill="auto"/>
            <w:noWrap w:val="0"/>
            <w:vAlign w:val="center"/>
          </w:tcPr>
          <w:p>
            <w:pPr>
              <w:topLinePunct/>
              <w:snapToGrid w:val="0"/>
              <w:spacing w:before="83" w:beforeLines="26" w:after="83" w:afterLines="26"/>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cs="宋体"/>
                <w:color w:val="auto"/>
                <w:sz w:val="24"/>
                <w:szCs w:val="24"/>
                <w:highlight w:val="none"/>
                <w:lang w:val="en-US" w:eastAsia="zh-CN"/>
              </w:rPr>
              <w:t>电磁锁</w:t>
            </w:r>
          </w:p>
        </w:tc>
        <w:tc>
          <w:tcPr>
            <w:tcW w:w="664"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lang w:val="en-US" w:eastAsia="zh-CN"/>
              </w:rPr>
              <w:t>套</w:t>
            </w:r>
          </w:p>
        </w:tc>
        <w:tc>
          <w:tcPr>
            <w:tcW w:w="1382" w:type="dxa"/>
            <w:shd w:val="clear" w:color="auto" w:fill="auto"/>
            <w:noWrap w:val="0"/>
            <w:vAlign w:val="center"/>
          </w:tcPr>
          <w:p>
            <w:pPr>
              <w:topLinePunct/>
              <w:snapToGrid w:val="0"/>
              <w:spacing w:before="83" w:beforeLines="26" w:after="83" w:afterLines="26"/>
              <w:jc w:val="center"/>
              <w:rPr>
                <w:rFonts w:hint="default" w:ascii="宋体" w:hAnsi="宋体" w:eastAsia="宋体" w:cs="宋体"/>
                <w:color w:val="000000"/>
                <w:kern w:val="2"/>
                <w:sz w:val="21"/>
                <w:szCs w:val="21"/>
                <w:highlight w:val="none"/>
                <w:lang w:val="en-US" w:eastAsia="zh-CN" w:bidi="ar-SA"/>
              </w:rPr>
            </w:pPr>
          </w:p>
        </w:tc>
        <w:tc>
          <w:tcPr>
            <w:tcW w:w="1382" w:type="dxa"/>
            <w:shd w:val="clear" w:color="auto" w:fill="auto"/>
            <w:noWrap w:val="0"/>
            <w:vAlign w:val="center"/>
          </w:tcPr>
          <w:p>
            <w:pPr>
              <w:topLinePunct/>
              <w:snapToGrid w:val="0"/>
              <w:spacing w:before="83" w:beforeLines="26" w:after="83" w:afterLines="26"/>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 w:val="21"/>
                <w:szCs w:val="21"/>
                <w:highlight w:val="none"/>
                <w:lang w:val="en-US" w:eastAsia="zh-CN"/>
              </w:rPr>
              <w:t>10</w:t>
            </w:r>
          </w:p>
        </w:tc>
        <w:tc>
          <w:tcPr>
            <w:tcW w:w="1382"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c>
          <w:tcPr>
            <w:tcW w:w="1383"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p>
        </w:tc>
      </w:tr>
    </w:tbl>
    <w:p>
      <w:pPr>
        <w:tabs>
          <w:tab w:val="left" w:pos="1810"/>
        </w:tabs>
        <w:topLinePunct/>
        <w:snapToGrid w:val="0"/>
        <w:ind w:firstLine="420" w:firstLineChars="200"/>
        <w:rPr>
          <w:rFonts w:hint="eastAsia" w:hAnsi="宋体" w:eastAsia="宋体"/>
          <w:color w:val="000000"/>
          <w:szCs w:val="21"/>
          <w:highlight w:val="none"/>
          <w:lang w:eastAsia="zh-CN"/>
        </w:rPr>
      </w:pPr>
    </w:p>
    <w:p>
      <w:pPr>
        <w:keepNext w:val="0"/>
        <w:keepLines w:val="0"/>
        <w:pageBreakBefore w:val="0"/>
        <w:widowControl w:val="0"/>
        <w:kinsoku/>
        <w:wordWrap/>
        <w:overflowPunct/>
        <w:topLinePunct/>
        <w:autoSpaceDE/>
        <w:autoSpaceDN/>
        <w:bidi w:val="0"/>
        <w:adjustRightInd/>
        <w:snapToGrid/>
        <w:spacing w:line="580" w:lineRule="exact"/>
        <w:ind w:firstLine="480" w:firstLineChars="200"/>
        <w:textAlignment w:val="auto"/>
        <w:outlineLvl w:val="1"/>
        <w:rPr>
          <w:rFonts w:hint="eastAsia" w:ascii="宋体" w:hAnsi="宋体" w:eastAsia="宋体" w:cs="宋体"/>
          <w:b/>
          <w:bCs w:val="0"/>
          <w:spacing w:val="8"/>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eastAsia="zh-CN"/>
        </w:rPr>
        <w:t>.2　使用条件</w:t>
      </w:r>
    </w:p>
    <w:p>
      <w:pPr>
        <w:tabs>
          <w:tab w:val="center" w:pos="4706"/>
          <w:tab w:val="right" w:pos="9044"/>
        </w:tabs>
        <w:topLinePunct/>
        <w:spacing w:before="160" w:after="60" w:line="312" w:lineRule="exact"/>
        <w:jc w:val="center"/>
        <w:rPr>
          <w:rFonts w:hint="eastAsia" w:ascii="宋体" w:hAnsi="宋体" w:eastAsia="宋体" w:cs="宋体"/>
          <w:b/>
          <w:bCs w:val="0"/>
          <w:spacing w:val="8"/>
          <w:kern w:val="2"/>
          <w:sz w:val="21"/>
          <w:szCs w:val="21"/>
          <w:highlight w:val="none"/>
          <w:lang w:val="en-US" w:eastAsia="zh-CN" w:bidi="ar-SA"/>
        </w:rPr>
      </w:pPr>
      <w:r>
        <w:rPr>
          <w:rFonts w:hint="eastAsia" w:ascii="宋体" w:hAnsi="宋体" w:eastAsia="宋体" w:cs="宋体"/>
          <w:b/>
          <w:bCs w:val="0"/>
          <w:spacing w:val="8"/>
          <w:kern w:val="2"/>
          <w:sz w:val="21"/>
          <w:szCs w:val="21"/>
          <w:highlight w:val="none"/>
          <w:lang w:val="en-US" w:eastAsia="zh-CN" w:bidi="ar-SA"/>
        </w:rPr>
        <w:t>表6 使用条件</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2817"/>
        <w:gridCol w:w="4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序号</w:t>
            </w:r>
          </w:p>
        </w:tc>
        <w:tc>
          <w:tcPr>
            <w:tcW w:w="2817" w:type="dxa"/>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项目</w:t>
            </w:r>
          </w:p>
        </w:tc>
        <w:tc>
          <w:tcPr>
            <w:tcW w:w="4187" w:type="dxa"/>
            <w:noWrap w:val="0"/>
            <w:vAlign w:val="center"/>
          </w:tcPr>
          <w:p>
            <w:pPr>
              <w:topLinePunct/>
              <w:snapToGrid w:val="0"/>
              <w:spacing w:before="83" w:beforeLines="26" w:after="83" w:afterLines="26"/>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2817"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环境</w:t>
            </w:r>
            <w:r>
              <w:rPr>
                <w:rFonts w:hint="eastAsia" w:ascii="宋体" w:hAnsi="宋体" w:eastAsia="宋体" w:cs="宋体"/>
                <w:color w:val="000000"/>
                <w:sz w:val="21"/>
                <w:szCs w:val="21"/>
                <w:highlight w:val="none"/>
                <w:lang w:val="en-US" w:eastAsia="zh-CN"/>
              </w:rPr>
              <w:t>温</w:t>
            </w:r>
            <w:r>
              <w:rPr>
                <w:rFonts w:hint="eastAsia" w:ascii="宋体" w:hAnsi="宋体" w:eastAsia="宋体" w:cs="宋体"/>
                <w:color w:val="000000"/>
                <w:sz w:val="21"/>
                <w:szCs w:val="21"/>
                <w:highlight w:val="none"/>
              </w:rPr>
              <w:t>度</w:t>
            </w:r>
          </w:p>
        </w:tc>
        <w:tc>
          <w:tcPr>
            <w:tcW w:w="4187"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lang w:val="en-US" w:eastAsia="zh-CN"/>
              </w:rPr>
            </w:pPr>
            <w:r>
              <w:rPr>
                <w:rFonts w:hint="eastAsia" w:ascii="宋体" w:hAnsi="宋体" w:cs="宋体"/>
                <w:b w:val="0"/>
                <w:bCs w:val="0"/>
                <w:kern w:val="0"/>
                <w:sz w:val="21"/>
                <w:szCs w:val="21"/>
                <w:highlight w:val="none"/>
              </w:rPr>
              <w:t>户内设备  -25℃～45℃；户外设备  -40℃～+80℃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2817"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相对湿度</w:t>
            </w:r>
          </w:p>
        </w:tc>
        <w:tc>
          <w:tcPr>
            <w:tcW w:w="4187"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rPr>
            </w:pPr>
            <w:r>
              <w:rPr>
                <w:rFonts w:hint="eastAsia" w:ascii="宋体" w:hAnsi="宋体" w:cs="宋体"/>
                <w:b w:val="0"/>
                <w:bCs w:val="0"/>
                <w:kern w:val="0"/>
                <w:sz w:val="21"/>
                <w:szCs w:val="21"/>
                <w:highlight w:val="none"/>
              </w:rPr>
              <w:t>5%～95%（产品内部既不凝露，也不结冰）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w:t>
            </w:r>
          </w:p>
        </w:tc>
        <w:tc>
          <w:tcPr>
            <w:tcW w:w="2817"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大气压力</w:t>
            </w:r>
          </w:p>
        </w:tc>
        <w:tc>
          <w:tcPr>
            <w:tcW w:w="4187" w:type="dxa"/>
            <w:noWrap w:val="0"/>
            <w:vAlign w:val="center"/>
          </w:tcPr>
          <w:p>
            <w:pPr>
              <w:topLinePunct/>
              <w:snapToGrid w:val="0"/>
              <w:spacing w:before="83" w:beforeLines="26" w:after="83" w:afterLines="26"/>
              <w:jc w:val="center"/>
              <w:rPr>
                <w:rFonts w:hint="eastAsia" w:ascii="宋体" w:hAnsi="宋体" w:eastAsia="宋体" w:cs="宋体"/>
                <w:color w:val="000000"/>
                <w:sz w:val="21"/>
                <w:szCs w:val="21"/>
                <w:highlight w:val="none"/>
                <w:lang w:val="en-US" w:eastAsia="zh-CN"/>
              </w:rPr>
            </w:pPr>
            <w:r>
              <w:rPr>
                <w:rFonts w:hint="eastAsia" w:ascii="宋体" w:hAnsi="宋体" w:cs="宋体"/>
                <w:b w:val="0"/>
                <w:bCs w:val="0"/>
                <w:kern w:val="0"/>
                <w:sz w:val="21"/>
                <w:szCs w:val="21"/>
                <w:highlight w:val="none"/>
              </w:rPr>
              <w:t>80kPa～110kPa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w:t>
            </w:r>
          </w:p>
        </w:tc>
        <w:tc>
          <w:tcPr>
            <w:tcW w:w="2817"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最大风速</w:t>
            </w:r>
          </w:p>
        </w:tc>
        <w:tc>
          <w:tcPr>
            <w:tcW w:w="4187" w:type="dxa"/>
            <w:noWrap w:val="0"/>
            <w:vAlign w:val="center"/>
          </w:tcPr>
          <w:p>
            <w:pPr>
              <w:topLinePunct/>
              <w:snapToGrid w:val="0"/>
              <w:spacing w:before="83" w:beforeLines="26" w:after="83" w:afterLines="26"/>
              <w:jc w:val="center"/>
              <w:rPr>
                <w:rFonts w:hint="eastAsia" w:ascii="宋体" w:hAnsi="宋体" w:cs="宋体"/>
                <w:b w:val="0"/>
                <w:bCs w:val="0"/>
                <w:kern w:val="0"/>
                <w:sz w:val="21"/>
                <w:szCs w:val="21"/>
                <w:highlight w:val="none"/>
              </w:rPr>
            </w:pPr>
            <w:r>
              <w:rPr>
                <w:rFonts w:hint="eastAsia" w:ascii="宋体" w:hAnsi="宋体" w:cs="宋体"/>
                <w:b w:val="0"/>
                <w:bCs w:val="0"/>
                <w:kern w:val="0"/>
                <w:sz w:val="21"/>
                <w:szCs w:val="21"/>
                <w:highlight w:val="none"/>
              </w:rPr>
              <w:t>35m/s（离地面10m 高，10min 平均风速）（户外）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5</w:t>
            </w:r>
          </w:p>
        </w:tc>
        <w:tc>
          <w:tcPr>
            <w:tcW w:w="2817"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最大日温差</w:t>
            </w:r>
          </w:p>
        </w:tc>
        <w:tc>
          <w:tcPr>
            <w:tcW w:w="4187" w:type="dxa"/>
            <w:noWrap w:val="0"/>
            <w:vAlign w:val="center"/>
          </w:tcPr>
          <w:p>
            <w:pPr>
              <w:topLinePunct/>
              <w:snapToGrid w:val="0"/>
              <w:spacing w:before="83" w:beforeLines="26" w:after="83" w:afterLines="26"/>
              <w:jc w:val="center"/>
              <w:rPr>
                <w:rFonts w:hint="eastAsia" w:ascii="宋体" w:hAnsi="宋体" w:cs="宋体"/>
                <w:b w:val="0"/>
                <w:bCs w:val="0"/>
                <w:kern w:val="0"/>
                <w:sz w:val="21"/>
                <w:szCs w:val="21"/>
                <w:highlight w:val="none"/>
              </w:rPr>
            </w:pPr>
            <w:r>
              <w:rPr>
                <w:rFonts w:hint="eastAsia" w:ascii="宋体" w:hAnsi="宋体" w:cs="宋体"/>
                <w:b w:val="0"/>
                <w:bCs w:val="0"/>
                <w:kern w:val="0"/>
                <w:sz w:val="21"/>
                <w:szCs w:val="21"/>
                <w:highlight w:val="none"/>
              </w:rPr>
              <w:t>25°C（户外）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6</w:t>
            </w:r>
          </w:p>
        </w:tc>
        <w:tc>
          <w:tcPr>
            <w:tcW w:w="2817" w:type="dxa"/>
            <w:noWrap w:val="0"/>
            <w:vAlign w:val="center"/>
          </w:tcPr>
          <w:p>
            <w:pPr>
              <w:topLinePunct/>
              <w:snapToGrid w:val="0"/>
              <w:spacing w:before="83" w:beforeLines="26" w:after="83" w:afterLines="26"/>
              <w:jc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覆冰厚度</w:t>
            </w:r>
          </w:p>
        </w:tc>
        <w:tc>
          <w:tcPr>
            <w:tcW w:w="4187" w:type="dxa"/>
            <w:noWrap w:val="0"/>
            <w:vAlign w:val="center"/>
          </w:tcPr>
          <w:p>
            <w:pPr>
              <w:topLinePunct/>
              <w:snapToGrid w:val="0"/>
              <w:spacing w:before="83" w:beforeLines="26" w:after="83" w:afterLines="26"/>
              <w:jc w:val="center"/>
              <w:rPr>
                <w:rFonts w:hint="eastAsia" w:ascii="宋体" w:hAnsi="宋体" w:cs="宋体"/>
                <w:b w:val="0"/>
                <w:bCs w:val="0"/>
                <w:kern w:val="0"/>
                <w:sz w:val="21"/>
                <w:szCs w:val="21"/>
                <w:highlight w:val="none"/>
              </w:rPr>
            </w:pPr>
            <w:r>
              <w:rPr>
                <w:rFonts w:hint="eastAsia" w:ascii="宋体" w:hAnsi="宋体" w:cs="宋体"/>
                <w:b w:val="0"/>
                <w:bCs w:val="0"/>
                <w:kern w:val="0"/>
                <w:sz w:val="21"/>
                <w:szCs w:val="21"/>
                <w:highlight w:val="none"/>
                <w:lang w:val="en-US" w:eastAsia="zh-CN"/>
              </w:rPr>
              <w:t>2</w:t>
            </w:r>
            <w:r>
              <w:rPr>
                <w:rFonts w:hint="eastAsia" w:ascii="宋体" w:hAnsi="宋体" w:cs="宋体"/>
                <w:b w:val="0"/>
                <w:bCs w:val="0"/>
                <w:kern w:val="0"/>
                <w:sz w:val="21"/>
                <w:szCs w:val="21"/>
                <w:highlight w:val="none"/>
              </w:rPr>
              <w:t>0mm（户外）</w:t>
            </w:r>
          </w:p>
        </w:tc>
      </w:tr>
    </w:tbl>
    <w:p>
      <w:pPr>
        <w:pStyle w:val="5"/>
        <w:keepNext/>
        <w:keepLines w:val="0"/>
        <w:pageBreakBefore w:val="0"/>
        <w:widowControl/>
        <w:numPr>
          <w:ilvl w:val="0"/>
          <w:numId w:val="2"/>
        </w:numPr>
        <w:kinsoku/>
        <w:wordWrap/>
        <w:overflowPunct w:val="0"/>
        <w:topLinePunct w:val="0"/>
        <w:autoSpaceDE w:val="0"/>
        <w:autoSpaceDN w:val="0"/>
        <w:bidi w:val="0"/>
        <w:adjustRightInd w:val="0"/>
        <w:snapToGrid/>
        <w:ind w:left="0" w:leftChars="0" w:firstLine="422" w:firstLineChars="200"/>
        <w:textAlignment w:val="baseline"/>
        <w:outlineLvl w:val="0"/>
        <w:rPr>
          <w:rFonts w:hint="eastAsia" w:ascii="Times New Roman" w:hAnsi="Times New Roman" w:cs="Times New Roman"/>
          <w:b/>
          <w:bCs/>
          <w:color w:val="auto"/>
          <w:highlight w:val="none"/>
          <w:lang w:val="en-US" w:eastAsia="zh-CN"/>
        </w:rPr>
      </w:pPr>
      <w:bookmarkStart w:id="81" w:name="_Toc19323"/>
      <w:r>
        <w:rPr>
          <w:rFonts w:hint="eastAsia" w:ascii="Times New Roman" w:hAnsi="Times New Roman" w:cs="Times New Roman"/>
          <w:b/>
          <w:bCs/>
          <w:color w:val="auto"/>
          <w:highlight w:val="none"/>
          <w:lang w:val="en-US" w:eastAsia="zh-CN"/>
        </w:rPr>
        <w:t>投标人响应部分</w:t>
      </w:r>
      <w:bookmarkEnd w:id="81"/>
    </w:p>
    <w:p>
      <w:pPr>
        <w:keepNext w:val="0"/>
        <w:keepLines w:val="0"/>
        <w:pageBreakBefore w:val="0"/>
        <w:widowControl w:val="0"/>
        <w:kinsoku/>
        <w:wordWrap/>
        <w:overflowPunct/>
        <w:topLinePunct/>
        <w:autoSpaceDE/>
        <w:autoSpaceDN/>
        <w:bidi w:val="0"/>
        <w:adjustRightInd/>
        <w:snapToGrid/>
        <w:spacing w:line="580" w:lineRule="exact"/>
        <w:ind w:firstLine="480" w:firstLineChars="200"/>
        <w:textAlignment w:val="auto"/>
        <w:outlineLvl w:val="1"/>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eastAsia="zh-CN"/>
        </w:rPr>
        <w:t>.1</w:t>
      </w:r>
      <w:r>
        <w:rPr>
          <w:rFonts w:hint="eastAsia" w:ascii="宋体" w:hAnsi="宋体" w:eastAsia="宋体" w:cs="宋体"/>
          <w:color w:val="000000"/>
          <w:sz w:val="24"/>
          <w:szCs w:val="24"/>
          <w:highlight w:val="none"/>
          <w:lang w:val="en-US" w:eastAsia="zh-CN"/>
        </w:rPr>
        <w:t xml:space="preserve"> </w:t>
      </w:r>
      <w:r>
        <w:rPr>
          <w:rFonts w:hint="eastAsia" w:ascii="宋体" w:hAnsi="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lang w:eastAsia="zh-CN"/>
        </w:rPr>
        <w:t>技术偏差</w:t>
      </w:r>
    </w:p>
    <w:p>
      <w:pPr>
        <w:keepNext w:val="0"/>
        <w:keepLines w:val="0"/>
        <w:pageBreakBefore w:val="0"/>
        <w:widowControl w:val="0"/>
        <w:kinsoku/>
        <w:wordWrap/>
        <w:overflowPunct/>
        <w:topLinePunct/>
        <w:autoSpaceDE/>
        <w:autoSpaceDN/>
        <w:bidi w:val="0"/>
        <w:adjustRightInd/>
        <w:snapToGrid/>
        <w:spacing w:line="580" w:lineRule="exact"/>
        <w:ind w:firstLine="480" w:firstLineChars="200"/>
        <w:textAlignment w:val="auto"/>
        <w:rPr>
          <w:rFonts w:ascii="E-F1" w:eastAsia="黑体"/>
          <w:sz w:val="24"/>
          <w:szCs w:val="24"/>
          <w:highlight w:val="none"/>
        </w:rPr>
      </w:pPr>
      <w:r>
        <w:rPr>
          <w:rFonts w:hint="eastAsia" w:ascii="宋体" w:hAnsi="宋体" w:eastAsia="宋体" w:cs="宋体"/>
          <w:color w:val="000000"/>
          <w:sz w:val="24"/>
          <w:szCs w:val="24"/>
          <w:highlight w:val="none"/>
          <w:lang w:eastAsia="zh-CN"/>
        </w:rPr>
        <w:t>投标人提供的产品技术规范应与本招标文件中规定的要求一致。若有偏差投标人应如实、认真地填写偏差值；若无技术偏差视为完全满足本技术规范的要求，则在投标人技术偏差表（表4）中注明“无偏差”。</w:t>
      </w:r>
    </w:p>
    <w:p>
      <w:pPr>
        <w:tabs>
          <w:tab w:val="center" w:pos="4706"/>
          <w:tab w:val="right" w:pos="9044"/>
        </w:tabs>
        <w:topLinePunct/>
        <w:spacing w:before="160" w:after="60" w:line="312" w:lineRule="exact"/>
        <w:jc w:val="center"/>
        <w:rPr>
          <w:rFonts w:hint="eastAsia" w:ascii="宋体" w:hAnsi="宋体" w:eastAsia="宋体" w:cs="宋体"/>
          <w:b/>
          <w:bCs w:val="0"/>
          <w:spacing w:val="8"/>
          <w:kern w:val="2"/>
          <w:sz w:val="21"/>
          <w:szCs w:val="21"/>
          <w:highlight w:val="none"/>
          <w:lang w:val="en-US" w:eastAsia="zh-CN" w:bidi="ar-SA"/>
        </w:rPr>
      </w:pPr>
      <w:r>
        <w:rPr>
          <w:rFonts w:hint="eastAsia" w:ascii="宋体" w:hAnsi="宋体" w:eastAsia="宋体" w:cs="宋体"/>
          <w:b/>
          <w:bCs w:val="0"/>
          <w:spacing w:val="8"/>
          <w:kern w:val="2"/>
          <w:sz w:val="21"/>
          <w:szCs w:val="21"/>
          <w:highlight w:val="none"/>
          <w:lang w:val="en-US" w:eastAsia="zh-CN" w:bidi="ar-SA"/>
        </w:rPr>
        <w:t>表7 投标人技术偏差表</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7"/>
        <w:gridCol w:w="1547"/>
        <w:gridCol w:w="1547"/>
        <w:gridCol w:w="1549"/>
        <w:gridCol w:w="154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jc w:val="center"/>
        </w:trPr>
        <w:tc>
          <w:tcPr>
            <w:tcW w:w="587" w:type="dxa"/>
            <w:noWrap w:val="0"/>
            <w:vAlign w:val="center"/>
          </w:tcPr>
          <w:p>
            <w:pPr>
              <w:topLinePunct/>
              <w:snapToGrid w:val="0"/>
              <w:spacing w:before="54" w:beforeLines="17" w:after="54" w:afterLines="17"/>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序号</w:t>
            </w:r>
          </w:p>
        </w:tc>
        <w:tc>
          <w:tcPr>
            <w:tcW w:w="1547" w:type="dxa"/>
            <w:noWrap w:val="0"/>
            <w:vAlign w:val="center"/>
          </w:tcPr>
          <w:p>
            <w:pPr>
              <w:topLinePunct/>
              <w:snapToGrid w:val="0"/>
              <w:spacing w:before="54" w:beforeLines="17" w:after="54" w:afterLines="17"/>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项目</w:t>
            </w:r>
          </w:p>
        </w:tc>
        <w:tc>
          <w:tcPr>
            <w:tcW w:w="1547" w:type="dxa"/>
            <w:noWrap w:val="0"/>
            <w:vAlign w:val="center"/>
          </w:tcPr>
          <w:p>
            <w:pPr>
              <w:topLinePunct/>
              <w:snapToGrid w:val="0"/>
              <w:spacing w:before="54" w:beforeLines="17" w:after="54" w:afterLines="17"/>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对应条款编号</w:t>
            </w:r>
          </w:p>
        </w:tc>
        <w:tc>
          <w:tcPr>
            <w:tcW w:w="1549" w:type="dxa"/>
            <w:noWrap w:val="0"/>
            <w:vAlign w:val="center"/>
          </w:tcPr>
          <w:p>
            <w:pPr>
              <w:topLinePunct/>
              <w:snapToGrid w:val="0"/>
              <w:spacing w:before="54" w:beforeLines="17" w:after="54" w:afterLines="17"/>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技术规范要求</w:t>
            </w:r>
          </w:p>
        </w:tc>
        <w:tc>
          <w:tcPr>
            <w:tcW w:w="1547" w:type="dxa"/>
            <w:noWrap w:val="0"/>
            <w:vAlign w:val="center"/>
          </w:tcPr>
          <w:p>
            <w:pPr>
              <w:topLinePunct/>
              <w:snapToGrid w:val="0"/>
              <w:spacing w:before="54" w:beforeLines="17" w:after="54" w:afterLines="17"/>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偏差</w:t>
            </w:r>
          </w:p>
        </w:tc>
        <w:tc>
          <w:tcPr>
            <w:tcW w:w="1549" w:type="dxa"/>
            <w:noWrap w:val="0"/>
            <w:vAlign w:val="center"/>
          </w:tcPr>
          <w:p>
            <w:pPr>
              <w:topLinePunct/>
              <w:snapToGrid w:val="0"/>
              <w:spacing w:before="54" w:beforeLines="17" w:after="54" w:afterLines="17"/>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8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9"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9"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8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9"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9"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8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9"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9"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8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9"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7"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c>
          <w:tcPr>
            <w:tcW w:w="1549" w:type="dxa"/>
            <w:noWrap w:val="0"/>
            <w:vAlign w:val="center"/>
          </w:tcPr>
          <w:p>
            <w:pPr>
              <w:topLinePunct/>
              <w:snapToGrid w:val="0"/>
              <w:spacing w:before="54" w:beforeLines="17" w:after="54" w:afterLines="17"/>
              <w:jc w:val="center"/>
              <w:rPr>
                <w:rFonts w:hint="eastAsia" w:ascii="宋体" w:hAnsi="宋体" w:eastAsia="宋体" w:cs="宋体"/>
                <w:color w:val="000000"/>
                <w:sz w:val="21"/>
                <w:szCs w:val="21"/>
                <w:highlight w:val="none"/>
              </w:rPr>
            </w:pPr>
          </w:p>
        </w:tc>
      </w:tr>
    </w:tbl>
    <w:p>
      <w:pPr>
        <w:keepNext w:val="0"/>
        <w:keepLines w:val="0"/>
        <w:pageBreakBefore w:val="0"/>
        <w:widowControl w:val="0"/>
        <w:kinsoku/>
        <w:wordWrap/>
        <w:overflowPunct/>
        <w:topLinePunct/>
        <w:autoSpaceDE/>
        <w:autoSpaceDN/>
        <w:bidi w:val="0"/>
        <w:adjustRightInd/>
        <w:snapToGrid/>
        <w:spacing w:line="580" w:lineRule="exact"/>
        <w:ind w:firstLine="480" w:firstLineChars="200"/>
        <w:textAlignment w:val="auto"/>
        <w:outlineLvl w:val="1"/>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eastAsia="zh-CN"/>
        </w:rPr>
        <w:t>.2　投标人应提供的技术资料</w:t>
      </w:r>
    </w:p>
    <w:p>
      <w:pPr>
        <w:tabs>
          <w:tab w:val="center" w:pos="4706"/>
          <w:tab w:val="right" w:pos="9044"/>
        </w:tabs>
        <w:topLinePunct/>
        <w:spacing w:before="160" w:after="60" w:line="312" w:lineRule="exact"/>
        <w:jc w:val="center"/>
        <w:rPr>
          <w:rFonts w:hint="eastAsia" w:ascii="宋体" w:hAnsi="宋体" w:eastAsia="宋体" w:cs="宋体"/>
          <w:b/>
          <w:bCs w:val="0"/>
          <w:spacing w:val="8"/>
          <w:kern w:val="2"/>
          <w:sz w:val="21"/>
          <w:szCs w:val="21"/>
          <w:highlight w:val="none"/>
          <w:lang w:val="en-US" w:eastAsia="zh-CN" w:bidi="ar-SA"/>
        </w:rPr>
      </w:pPr>
      <w:r>
        <w:rPr>
          <w:rFonts w:hint="eastAsia" w:ascii="宋体" w:hAnsi="宋体" w:eastAsia="宋体" w:cs="宋体"/>
          <w:b/>
          <w:bCs w:val="0"/>
          <w:spacing w:val="8"/>
          <w:kern w:val="2"/>
          <w:sz w:val="21"/>
          <w:szCs w:val="21"/>
          <w:highlight w:val="none"/>
          <w:lang w:val="en-US" w:eastAsia="zh-CN" w:bidi="ar-SA"/>
        </w:rPr>
        <w:t>表8 投标人应提供的技术资料</w:t>
      </w:r>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7"/>
        <w:gridCol w:w="3711"/>
        <w:gridCol w:w="387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tcBorders>
              <w:top w:val="single" w:color="auto" w:sz="4" w:space="0"/>
              <w:left w:val="single" w:color="auto" w:sz="4" w:space="0"/>
              <w:bottom w:val="single" w:color="auto" w:sz="4" w:space="0"/>
            </w:tcBorders>
            <w:noWrap w:val="0"/>
            <w:vAlign w:val="center"/>
          </w:tcPr>
          <w:p>
            <w:pPr>
              <w:topLinePunct/>
              <w:snapToGrid w:val="0"/>
              <w:spacing w:before="58" w:beforeLines="18" w:after="58" w:afterLines="18"/>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序号</w:t>
            </w:r>
          </w:p>
        </w:tc>
        <w:tc>
          <w:tcPr>
            <w:tcW w:w="3711" w:type="dxa"/>
            <w:tcBorders>
              <w:top w:val="single" w:color="auto" w:sz="4" w:space="0"/>
              <w:bottom w:val="single" w:color="auto" w:sz="4" w:space="0"/>
            </w:tcBorders>
            <w:noWrap w:val="0"/>
            <w:vAlign w:val="center"/>
          </w:tcPr>
          <w:p>
            <w:pPr>
              <w:topLinePunct/>
              <w:snapToGrid w:val="0"/>
              <w:spacing w:before="58" w:beforeLines="18" w:after="58" w:afterLines="18"/>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内容</w:t>
            </w:r>
          </w:p>
        </w:tc>
        <w:tc>
          <w:tcPr>
            <w:tcW w:w="3878" w:type="dxa"/>
            <w:tcBorders>
              <w:top w:val="single" w:color="auto" w:sz="4" w:space="0"/>
              <w:bottom w:val="single" w:color="auto" w:sz="4" w:space="0"/>
              <w:right w:val="single" w:color="auto" w:sz="4" w:space="0"/>
            </w:tcBorders>
            <w:noWrap w:val="0"/>
            <w:vAlign w:val="center"/>
          </w:tcPr>
          <w:p>
            <w:pPr>
              <w:topLinePunct/>
              <w:snapToGrid w:val="0"/>
              <w:spacing w:before="58" w:beforeLines="18" w:after="58" w:afterLines="18"/>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投标人响应情况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tcBorders>
              <w:top w:val="single" w:color="auto" w:sz="4" w:space="0"/>
              <w:left w:val="single" w:color="auto" w:sz="4" w:space="0"/>
              <w:bottom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3711" w:type="dxa"/>
            <w:tcBorders>
              <w:top w:val="single" w:color="auto" w:sz="4" w:space="0"/>
              <w:bottom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p>
        </w:tc>
        <w:tc>
          <w:tcPr>
            <w:tcW w:w="3878" w:type="dxa"/>
            <w:tcBorders>
              <w:top w:val="single" w:color="auto" w:sz="4" w:space="0"/>
              <w:bottom w:val="single" w:color="auto" w:sz="4" w:space="0"/>
              <w:right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tcBorders>
              <w:top w:val="single" w:color="auto" w:sz="4" w:space="0"/>
              <w:left w:val="single" w:color="auto" w:sz="4" w:space="0"/>
              <w:bottom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3711" w:type="dxa"/>
            <w:tcBorders>
              <w:top w:val="single" w:color="auto" w:sz="4" w:space="0"/>
              <w:bottom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p>
        </w:tc>
        <w:tc>
          <w:tcPr>
            <w:tcW w:w="3878" w:type="dxa"/>
            <w:tcBorders>
              <w:top w:val="single" w:color="auto" w:sz="4" w:space="0"/>
              <w:bottom w:val="single" w:color="auto" w:sz="4" w:space="0"/>
              <w:right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tcBorders>
              <w:top w:val="single" w:color="auto" w:sz="4" w:space="0"/>
              <w:left w:val="single" w:color="auto" w:sz="4" w:space="0"/>
              <w:bottom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3711" w:type="dxa"/>
            <w:tcBorders>
              <w:top w:val="single" w:color="auto" w:sz="4" w:space="0"/>
              <w:bottom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p>
        </w:tc>
        <w:tc>
          <w:tcPr>
            <w:tcW w:w="3878" w:type="dxa"/>
            <w:tcBorders>
              <w:top w:val="single" w:color="auto" w:sz="4" w:space="0"/>
              <w:bottom w:val="single" w:color="auto" w:sz="4" w:space="0"/>
              <w:right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tcBorders>
              <w:top w:val="single" w:color="auto" w:sz="4" w:space="0"/>
              <w:left w:val="single" w:color="auto" w:sz="4" w:space="0"/>
              <w:bottom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p>
        </w:tc>
        <w:tc>
          <w:tcPr>
            <w:tcW w:w="3711" w:type="dxa"/>
            <w:tcBorders>
              <w:top w:val="single" w:color="auto" w:sz="4" w:space="0"/>
              <w:bottom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p>
        </w:tc>
        <w:tc>
          <w:tcPr>
            <w:tcW w:w="3878" w:type="dxa"/>
            <w:tcBorders>
              <w:top w:val="single" w:color="auto" w:sz="4" w:space="0"/>
              <w:bottom w:val="single" w:color="auto" w:sz="4" w:space="0"/>
              <w:right w:val="single" w:color="auto" w:sz="4" w:space="0"/>
            </w:tcBorders>
            <w:noWrap w:val="0"/>
            <w:vAlign w:val="center"/>
          </w:tcPr>
          <w:p>
            <w:pPr>
              <w:topLinePunct/>
              <w:snapToGrid w:val="0"/>
              <w:spacing w:before="58" w:beforeLines="18" w:after="58" w:afterLines="18"/>
              <w:jc w:val="center"/>
              <w:rPr>
                <w:rFonts w:hint="eastAsia" w:ascii="宋体" w:hAnsi="宋体" w:eastAsia="宋体" w:cs="宋体"/>
                <w:color w:val="000000"/>
                <w:sz w:val="21"/>
                <w:szCs w:val="21"/>
                <w:highlight w:val="none"/>
              </w:rPr>
            </w:pPr>
          </w:p>
        </w:tc>
      </w:tr>
    </w:tbl>
    <w:p>
      <w:pPr>
        <w:keepNext w:val="0"/>
        <w:keepLines w:val="0"/>
        <w:pageBreakBefore w:val="0"/>
        <w:widowControl w:val="0"/>
        <w:kinsoku/>
        <w:wordWrap/>
        <w:overflowPunct/>
        <w:topLinePunct/>
        <w:autoSpaceDE/>
        <w:autoSpaceDN/>
        <w:bidi w:val="0"/>
        <w:adjustRightInd/>
        <w:snapToGrid/>
        <w:spacing w:line="580" w:lineRule="exact"/>
        <w:ind w:firstLine="420" w:firstLineChars="200"/>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注</w:t>
      </w:r>
      <w:r>
        <w:rPr>
          <w:rFonts w:hint="eastAsia" w:ascii="宋体" w:hAnsi="宋体" w:cs="宋体"/>
          <w:color w:val="000000"/>
          <w:szCs w:val="21"/>
          <w:highlight w:val="none"/>
          <w:lang w:eastAsia="zh-CN"/>
        </w:rPr>
        <w:t>：</w:t>
      </w:r>
      <w:r>
        <w:rPr>
          <w:rFonts w:hint="eastAsia" w:ascii="宋体" w:hAnsi="宋体" w:eastAsia="宋体" w:cs="宋体"/>
          <w:color w:val="000000"/>
          <w:szCs w:val="21"/>
          <w:highlight w:val="none"/>
          <w:lang w:eastAsia="zh-CN"/>
        </w:rPr>
        <w:t>投标人在“投标人响应情况”一栏中填写“是”或“否”。</w:t>
      </w:r>
    </w:p>
    <w:p>
      <w:pPr>
        <w:rPr>
          <w:highlight w:val="none"/>
        </w:rPr>
      </w:pPr>
    </w:p>
    <w:sectPr>
      <w:headerReference r:id="rId5" w:type="first"/>
      <w:footerReference r:id="rId8" w:type="first"/>
      <w:headerReference r:id="rId3" w:type="default"/>
      <w:footerReference r:id="rId6" w:type="default"/>
      <w:headerReference r:id="rId4" w:type="even"/>
      <w:footerReference r:id="rId7" w:type="even"/>
      <w:pgSz w:w="11906" w:h="16838"/>
      <w:pgMar w:top="1758" w:right="1304" w:bottom="1191" w:left="1701" w:header="1191" w:footer="851" w:gutter="0"/>
      <w:pgNumType w:fmt="decimal" w:start="1"/>
      <w:cols w:space="720" w:num="1"/>
      <w:titlePg/>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2010600000101010101"/>
    <w:charset w:val="86"/>
    <w:family w:val="modern"/>
    <w:pitch w:val="default"/>
    <w:sig w:usb0="00000000" w:usb1="00000000" w:usb2="00000002" w:usb3="00000000" w:csb0="00040000" w:csb1="00000000"/>
  </w:font>
  <w:font w:name="Cambria">
    <w:panose1 w:val="02040503050406030204"/>
    <w:charset w:val="00"/>
    <w:family w:val="roman"/>
    <w:pitch w:val="default"/>
    <w:sig w:usb0="E00006FF" w:usb1="420024FF" w:usb2="02000000" w:usb3="00000000" w:csb0="2000019F" w:csb1="00000000"/>
  </w:font>
  <w:font w:name="EU-F1">
    <w:altName w:val="宋体"/>
    <w:panose1 w:val="03000509000000000000"/>
    <w:charset w:val="86"/>
    <w:family w:val="script"/>
    <w:pitch w:val="default"/>
    <w:sig w:usb0="00000000" w:usb1="00000000" w:usb2="0000001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方正小标宋_GBK">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E-F1">
    <w:altName w:val="Malgun Gothic"/>
    <w:panose1 w:val="0206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hYfcS3gEAAL4DAAAOAAAAAAAA&#10;AAEAIAAAAB4BAABkcnMvZTJvRG9jLnhtbFBLBQYAAAAABgAGAFkBAABuBQAAAAA=&#10;">
              <v:fill on="f" focussize="0,0"/>
              <v:stroke on="f"/>
              <v:imagedata o:title=""/>
              <o:lock v:ext="edit" aspectratio="f"/>
              <v:textbox inset="0mm,0mm,0mm,0mm" style="mso-fit-shape-to-text:t;">
                <w:txbxContent>
                  <w:p>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UvbTz3gEAAL4DAAAOAAAAAAAA&#10;AAEAIAAAAB4BAABkcnMvZTJvRG9jLnhtbFBLBQYAAAAABgAGAFkBAABuBQAAAAA=&#10;">
              <v:fill on="f" focussize="0,0"/>
              <v:stroke on="f"/>
              <v:imagedata o:title=""/>
              <o:lock v:ext="edit" aspectratio="f"/>
              <v:textbox inset="0mm,0mm,0mm,0mm" style="mso-fit-shape-to-text:t;">
                <w:txbxContent>
                  <w:p>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8yty3gEAAL4DAAAOAAAAAAAA&#10;AAEAIAAAAB4BAABkcnMvZTJvRG9jLnhtbFBLBQYAAAAABgAGAFkBAABuBQAAAAA=&#10;">
              <v:fill on="f" focussize="0,0"/>
              <v:stroke on="f"/>
              <v:imagedata o:title=""/>
              <o:lock v:ext="edit" aspectratio="f"/>
              <v:textbox inset="0mm,0mm,0mm,0mm" style="mso-fit-shape-to-text:t;">
                <w:txbxContent>
                  <w:p>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7E2A7B"/>
    <w:multiLevelType w:val="singleLevel"/>
    <w:tmpl w:val="857E2A7B"/>
    <w:lvl w:ilvl="0" w:tentative="0">
      <w:start w:val="1"/>
      <w:numFmt w:val="decimal"/>
      <w:suff w:val="nothing"/>
      <w:lvlText w:val="%1、"/>
      <w:lvlJc w:val="left"/>
      <w:pPr>
        <w:ind w:left="420"/>
      </w:pPr>
    </w:lvl>
  </w:abstractNum>
  <w:abstractNum w:abstractNumId="1">
    <w:nsid w:val="C48D86EB"/>
    <w:multiLevelType w:val="singleLevel"/>
    <w:tmpl w:val="C48D86EB"/>
    <w:lvl w:ilvl="0" w:tentative="0">
      <w:start w:val="1"/>
      <w:numFmt w:val="decimal"/>
      <w:suff w:val="nothing"/>
      <w:lvlText w:val="（%1）"/>
      <w:lvlJc w:val="left"/>
    </w:lvl>
  </w:abstractNum>
  <w:abstractNum w:abstractNumId="2">
    <w:nsid w:val="43EC772F"/>
    <w:multiLevelType w:val="multilevel"/>
    <w:tmpl w:val="43EC772F"/>
    <w:lvl w:ilvl="0" w:tentative="0">
      <w:start w:val="1"/>
      <w:numFmt w:val="lowerLetter"/>
      <w:lvlText w:val="%1）"/>
      <w:lvlJc w:val="left"/>
      <w:pPr>
        <w:ind w:left="6598"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8630928"/>
    <w:multiLevelType w:val="multilevel"/>
    <w:tmpl w:val="58630928"/>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51"/>
      <w:suff w:val="nothing"/>
      <w:lvlText w:val="%1%2.%3　"/>
      <w:lvlJc w:val="left"/>
      <w:pPr>
        <w:ind w:left="0" w:firstLine="0"/>
      </w:pPr>
      <w:rPr>
        <w:rFonts w:hint="eastAsia" w:ascii="黑体" w:hAnsi="Times New Roman" w:eastAsia="黑体"/>
        <w:b w:val="0"/>
        <w:i w:val="0"/>
        <w:sz w:val="21"/>
      </w:rPr>
    </w:lvl>
    <w:lvl w:ilvl="3" w:tentative="0">
      <w:start w:val="1"/>
      <w:numFmt w:val="decimal"/>
      <w:pStyle w:val="53"/>
      <w:suff w:val="nothing"/>
      <w:lvlText w:val="%1%2.%3.%4　"/>
      <w:lvlJc w:val="left"/>
      <w:pPr>
        <w:ind w:left="426"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42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lODM1ZmFiOTVjMTY1ZjQ3MzdjYTdiZjhjZTk1NTEifQ=="/>
  </w:docVars>
  <w:rsids>
    <w:rsidRoot w:val="00172A27"/>
    <w:rsid w:val="000B7EDF"/>
    <w:rsid w:val="0010419A"/>
    <w:rsid w:val="00113DFC"/>
    <w:rsid w:val="00135F40"/>
    <w:rsid w:val="001F4D73"/>
    <w:rsid w:val="00222689"/>
    <w:rsid w:val="002232B4"/>
    <w:rsid w:val="00274774"/>
    <w:rsid w:val="002769F2"/>
    <w:rsid w:val="002A2A01"/>
    <w:rsid w:val="002E7479"/>
    <w:rsid w:val="00324324"/>
    <w:rsid w:val="0033543C"/>
    <w:rsid w:val="003768EC"/>
    <w:rsid w:val="003D7606"/>
    <w:rsid w:val="003E7F45"/>
    <w:rsid w:val="004015C5"/>
    <w:rsid w:val="00420AA9"/>
    <w:rsid w:val="00447513"/>
    <w:rsid w:val="004D125A"/>
    <w:rsid w:val="004E19D9"/>
    <w:rsid w:val="004E2534"/>
    <w:rsid w:val="00512015"/>
    <w:rsid w:val="0055495C"/>
    <w:rsid w:val="005A3AB4"/>
    <w:rsid w:val="005B5450"/>
    <w:rsid w:val="00657173"/>
    <w:rsid w:val="006B39AD"/>
    <w:rsid w:val="006E40C7"/>
    <w:rsid w:val="00786826"/>
    <w:rsid w:val="00797D25"/>
    <w:rsid w:val="007B113B"/>
    <w:rsid w:val="007D2DB6"/>
    <w:rsid w:val="007D4E83"/>
    <w:rsid w:val="008264E4"/>
    <w:rsid w:val="008474BD"/>
    <w:rsid w:val="008D3EB3"/>
    <w:rsid w:val="00902703"/>
    <w:rsid w:val="0090741E"/>
    <w:rsid w:val="00970DA2"/>
    <w:rsid w:val="00984DBE"/>
    <w:rsid w:val="009C1B1C"/>
    <w:rsid w:val="009E59C2"/>
    <w:rsid w:val="009E69BD"/>
    <w:rsid w:val="00A3270C"/>
    <w:rsid w:val="00A460C8"/>
    <w:rsid w:val="00A5744C"/>
    <w:rsid w:val="00A744A4"/>
    <w:rsid w:val="00AB6D72"/>
    <w:rsid w:val="00B94C21"/>
    <w:rsid w:val="00B951B8"/>
    <w:rsid w:val="00BA60F7"/>
    <w:rsid w:val="00BA67F6"/>
    <w:rsid w:val="00C03417"/>
    <w:rsid w:val="00C10375"/>
    <w:rsid w:val="00CD3E20"/>
    <w:rsid w:val="00E82CD4"/>
    <w:rsid w:val="00EB5B34"/>
    <w:rsid w:val="00F07E4F"/>
    <w:rsid w:val="00F53F85"/>
    <w:rsid w:val="00FF0E7C"/>
    <w:rsid w:val="03C55DE0"/>
    <w:rsid w:val="06A97ADD"/>
    <w:rsid w:val="0DD27B66"/>
    <w:rsid w:val="1600648E"/>
    <w:rsid w:val="16A17EA0"/>
    <w:rsid w:val="19847D03"/>
    <w:rsid w:val="19856A1B"/>
    <w:rsid w:val="1C143C12"/>
    <w:rsid w:val="1D05291B"/>
    <w:rsid w:val="1EA16599"/>
    <w:rsid w:val="20C80E74"/>
    <w:rsid w:val="232C5F6C"/>
    <w:rsid w:val="248B78BD"/>
    <w:rsid w:val="24C148FE"/>
    <w:rsid w:val="26654785"/>
    <w:rsid w:val="2E677E28"/>
    <w:rsid w:val="312F0DBB"/>
    <w:rsid w:val="333F67D0"/>
    <w:rsid w:val="33481DFB"/>
    <w:rsid w:val="35C81CE1"/>
    <w:rsid w:val="37F9567B"/>
    <w:rsid w:val="37F97FA1"/>
    <w:rsid w:val="39131BFA"/>
    <w:rsid w:val="3CD648A0"/>
    <w:rsid w:val="3DE67527"/>
    <w:rsid w:val="3FFB0702"/>
    <w:rsid w:val="41E374F5"/>
    <w:rsid w:val="441975C9"/>
    <w:rsid w:val="443261B4"/>
    <w:rsid w:val="444650BA"/>
    <w:rsid w:val="48AE1B4A"/>
    <w:rsid w:val="49996854"/>
    <w:rsid w:val="4C5C5ADB"/>
    <w:rsid w:val="50423A25"/>
    <w:rsid w:val="538933EB"/>
    <w:rsid w:val="55613FF9"/>
    <w:rsid w:val="564C675A"/>
    <w:rsid w:val="59C328DC"/>
    <w:rsid w:val="5C3B3066"/>
    <w:rsid w:val="5CC45394"/>
    <w:rsid w:val="5D2C0837"/>
    <w:rsid w:val="63CD43CC"/>
    <w:rsid w:val="65646BBC"/>
    <w:rsid w:val="66B510E2"/>
    <w:rsid w:val="67E56B16"/>
    <w:rsid w:val="69F26886"/>
    <w:rsid w:val="7604548F"/>
    <w:rsid w:val="7AFB1A52"/>
    <w:rsid w:val="7C56515C"/>
    <w:rsid w:val="7E374342"/>
    <w:rsid w:val="7F44006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99"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name="Body Text First Indent"/>
    <w:lsdException w:qFormat="1" w:unhideWhenUsed="0" w:uiPriority="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6"/>
    <w:qFormat/>
    <w:uiPriority w:val="0"/>
    <w:pPr>
      <w:keepNext/>
      <w:widowControl/>
      <w:overflowPunct w:val="0"/>
      <w:autoSpaceDE w:val="0"/>
      <w:autoSpaceDN w:val="0"/>
      <w:adjustRightInd w:val="0"/>
      <w:spacing w:line="480" w:lineRule="auto"/>
      <w:ind w:firstLine="420"/>
      <w:jc w:val="left"/>
      <w:textAlignment w:val="baseline"/>
      <w:outlineLvl w:val="0"/>
    </w:pPr>
    <w:rPr>
      <w:rFonts w:ascii="汉仪大宋简" w:eastAsia="汉仪大宋简"/>
      <w:kern w:val="28"/>
      <w:sz w:val="22"/>
      <w:szCs w:val="26"/>
    </w:rPr>
  </w:style>
  <w:style w:type="paragraph" w:styleId="5">
    <w:name w:val="heading 2"/>
    <w:basedOn w:val="1"/>
    <w:next w:val="6"/>
    <w:qFormat/>
    <w:uiPriority w:val="0"/>
    <w:pPr>
      <w:keepNext/>
      <w:widowControl/>
      <w:overflowPunct w:val="0"/>
      <w:autoSpaceDE w:val="0"/>
      <w:autoSpaceDN w:val="0"/>
      <w:adjustRightInd w:val="0"/>
      <w:ind w:firstLine="420"/>
      <w:textAlignment w:val="baseline"/>
      <w:outlineLvl w:val="1"/>
    </w:pPr>
    <w:rPr>
      <w:rFonts w:eastAsia="黑体"/>
      <w:kern w:val="0"/>
      <w:szCs w:val="21"/>
    </w:rPr>
  </w:style>
  <w:style w:type="character" w:default="1" w:styleId="22">
    <w:name w:val="Default Paragraph Font"/>
    <w:qFormat/>
    <w:uiPriority w:val="0"/>
  </w:style>
  <w:style w:type="table" w:default="1" w:styleId="20">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rPr>
      <w:sz w:val="24"/>
      <w:szCs w:val="24"/>
    </w:rPr>
  </w:style>
  <w:style w:type="paragraph" w:styleId="3">
    <w:name w:val="Title"/>
    <w:basedOn w:val="1"/>
    <w:next w:val="1"/>
    <w:qFormat/>
    <w:uiPriority w:val="0"/>
    <w:pPr>
      <w:widowControl w:val="0"/>
      <w:spacing w:before="240" w:after="60"/>
      <w:jc w:val="center"/>
      <w:outlineLvl w:val="0"/>
    </w:pPr>
    <w:rPr>
      <w:rFonts w:ascii="Arial" w:hAnsi="Arial" w:eastAsia="宋体" w:cs="Times New Roman"/>
      <w:b/>
      <w:bCs/>
      <w:kern w:val="0"/>
      <w:sz w:val="32"/>
      <w:szCs w:val="32"/>
      <w:lang w:val="en-US" w:eastAsia="zh-CN" w:bidi="ar-SA"/>
    </w:rPr>
  </w:style>
  <w:style w:type="paragraph" w:styleId="6">
    <w:name w:val="Normal Indent"/>
    <w:basedOn w:val="1"/>
    <w:qFormat/>
    <w:uiPriority w:val="0"/>
    <w:pPr>
      <w:ind w:firstLine="420" w:firstLineChars="200"/>
    </w:pPr>
  </w:style>
  <w:style w:type="paragraph" w:styleId="7">
    <w:name w:val="annotation text"/>
    <w:basedOn w:val="1"/>
    <w:link w:val="27"/>
    <w:qFormat/>
    <w:uiPriority w:val="0"/>
    <w:pPr>
      <w:adjustRightInd w:val="0"/>
      <w:ind w:firstLine="200" w:firstLineChars="200"/>
      <w:jc w:val="left"/>
      <w:textAlignment w:val="baseline"/>
    </w:pPr>
    <w:rPr>
      <w:kern w:val="0"/>
      <w:sz w:val="24"/>
      <w:szCs w:val="21"/>
    </w:rPr>
  </w:style>
  <w:style w:type="paragraph" w:styleId="8">
    <w:name w:val="Body Text Indent"/>
    <w:basedOn w:val="1"/>
    <w:next w:val="9"/>
    <w:semiHidden/>
    <w:qFormat/>
    <w:uiPriority w:val="0"/>
    <w:pPr>
      <w:widowControl w:val="0"/>
      <w:spacing w:after="120"/>
      <w:ind w:left="420"/>
      <w:jc w:val="both"/>
    </w:pPr>
    <w:rPr>
      <w:rFonts w:ascii="Times New Roman" w:hAnsi="Times New Roman" w:eastAsia="宋体" w:cs="Times New Roman"/>
      <w:kern w:val="0"/>
      <w:sz w:val="20"/>
      <w:lang w:val="en-US" w:eastAsia="zh-CN" w:bidi="ar-SA"/>
    </w:rPr>
  </w:style>
  <w:style w:type="paragraph" w:styleId="9">
    <w:name w:val="Intense Quote"/>
    <w:next w:val="1"/>
    <w:qFormat/>
    <w:uiPriority w:val="30"/>
    <w:pPr>
      <w:widowControl/>
      <w:pBdr>
        <w:top w:val="single" w:color="B8CCE4" w:sz="12" w:space="10"/>
        <w:left w:val="single" w:color="4F81BD" w:sz="36" w:space="4"/>
        <w:bottom w:val="single" w:color="9BBB59" w:sz="24" w:space="10"/>
        <w:right w:val="single" w:color="4F81BD" w:sz="36" w:space="4"/>
      </w:pBdr>
      <w:shd w:val="clear" w:color="auto" w:fill="4F81BD"/>
      <w:spacing w:before="320" w:after="320" w:line="300" w:lineRule="auto"/>
      <w:ind w:left="1440" w:right="1440" w:firstLine="360"/>
      <w:jc w:val="left"/>
    </w:pPr>
    <w:rPr>
      <w:rFonts w:ascii="Cambria" w:hAnsi="Cambria" w:eastAsia="宋体" w:cs="Times New Roman"/>
      <w:i/>
      <w:iCs/>
      <w:color w:val="FFFFFF"/>
      <w:kern w:val="0"/>
      <w:sz w:val="21"/>
      <w:lang w:val="en-US" w:eastAsia="en-US" w:bidi="en-US"/>
    </w:rPr>
  </w:style>
  <w:style w:type="paragraph" w:styleId="10">
    <w:name w:val="Plain Text"/>
    <w:basedOn w:val="1"/>
    <w:qFormat/>
    <w:uiPriority w:val="0"/>
    <w:pPr>
      <w:spacing w:line="360" w:lineRule="auto"/>
    </w:pPr>
    <w:rPr>
      <w:rFonts w:ascii="宋体" w:hAnsi="Courier New"/>
      <w:szCs w:val="20"/>
    </w:rPr>
  </w:style>
  <w:style w:type="paragraph" w:styleId="11">
    <w:name w:val="Balloon Text"/>
    <w:basedOn w:val="1"/>
    <w:qFormat/>
    <w:uiPriority w:val="0"/>
    <w:rPr>
      <w:sz w:val="18"/>
      <w:szCs w:val="18"/>
    </w:rPr>
  </w:style>
  <w:style w:type="paragraph" w:styleId="12">
    <w:name w:val="footer"/>
    <w:basedOn w:val="1"/>
    <w:link w:val="28"/>
    <w:qFormat/>
    <w:uiPriority w:val="99"/>
    <w:pPr>
      <w:tabs>
        <w:tab w:val="center" w:pos="4153"/>
        <w:tab w:val="right" w:pos="8306"/>
      </w:tabs>
      <w:topLinePunct/>
      <w:snapToGrid w:val="0"/>
      <w:jc w:val="left"/>
    </w:pPr>
    <w:rPr>
      <w:sz w:val="18"/>
      <w:szCs w:val="20"/>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style>
  <w:style w:type="paragraph" w:styleId="15">
    <w:name w:val="toc 2"/>
    <w:basedOn w:val="1"/>
    <w:next w:val="1"/>
    <w:qFormat/>
    <w:uiPriority w:val="0"/>
    <w:pPr>
      <w:ind w:left="420" w:leftChars="200"/>
    </w:pPr>
  </w:style>
  <w:style w:type="paragraph" w:styleId="16">
    <w:name w:val="Body Text 2"/>
    <w:basedOn w:val="1"/>
    <w:qFormat/>
    <w:uiPriority w:val="99"/>
    <w:pPr>
      <w:spacing w:after="120" w:line="480" w:lineRule="auto"/>
    </w:pPr>
    <w:rPr>
      <w:rFonts w:ascii="宋体"/>
      <w:u w:val="single"/>
    </w:rPr>
  </w:style>
  <w:style w:type="paragraph" w:styleId="1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8">
    <w:name w:val="Body Text First Indent"/>
    <w:basedOn w:val="2"/>
    <w:next w:val="19"/>
    <w:semiHidden/>
    <w:qFormat/>
    <w:uiPriority w:val="0"/>
    <w:pPr>
      <w:widowControl w:val="0"/>
      <w:adjustRightInd w:val="0"/>
      <w:spacing w:line="440" w:lineRule="atLeast"/>
      <w:ind w:firstLine="420"/>
      <w:jc w:val="center"/>
      <w:textAlignment w:val="baseline"/>
    </w:pPr>
    <w:rPr>
      <w:rFonts w:ascii="Times New Roman" w:hAnsi="Times New Roman" w:eastAsia="宋体" w:cs="Times New Roman"/>
      <w:kern w:val="0"/>
      <w:sz w:val="24"/>
      <w:lang w:val="en-US" w:eastAsia="zh-CN" w:bidi="ar-SA"/>
    </w:rPr>
  </w:style>
  <w:style w:type="paragraph" w:styleId="19">
    <w:name w:val="Body Text First Indent 2"/>
    <w:basedOn w:val="8"/>
    <w:next w:val="1"/>
    <w:semiHidden/>
    <w:qFormat/>
    <w:uiPriority w:val="0"/>
    <w:pPr>
      <w:widowControl w:val="0"/>
      <w:spacing w:after="120"/>
      <w:ind w:left="420" w:firstLine="420"/>
      <w:jc w:val="both"/>
    </w:pPr>
    <w:rPr>
      <w:rFonts w:ascii="Times New Roman" w:hAnsi="Times New Roman" w:eastAsia="宋体" w:cs="Times New Roman"/>
      <w:kern w:val="0"/>
      <w:sz w:val="20"/>
      <w:lang w:val="en-US" w:eastAsia="zh-CN" w:bidi="ar-SA"/>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Hyperlink"/>
    <w:qFormat/>
    <w:uiPriority w:val="0"/>
    <w:rPr>
      <w:color w:val="0000FF"/>
      <w:u w:val="single"/>
    </w:rPr>
  </w:style>
  <w:style w:type="character" w:styleId="25">
    <w:name w:val="annotation reference"/>
    <w:qFormat/>
    <w:uiPriority w:val="0"/>
    <w:rPr>
      <w:sz w:val="21"/>
      <w:szCs w:val="21"/>
    </w:rPr>
  </w:style>
  <w:style w:type="character" w:customStyle="1" w:styleId="26">
    <w:name w:val="标题 1 字符"/>
    <w:link w:val="4"/>
    <w:qFormat/>
    <w:uiPriority w:val="0"/>
    <w:rPr>
      <w:rFonts w:ascii="汉仪大宋简" w:eastAsia="汉仪大宋简"/>
      <w:kern w:val="28"/>
      <w:sz w:val="22"/>
      <w:szCs w:val="26"/>
      <w:lang w:val="en-US" w:eastAsia="zh-CN" w:bidi="ar-SA"/>
    </w:rPr>
  </w:style>
  <w:style w:type="character" w:customStyle="1" w:styleId="27">
    <w:name w:val="批注文字 字符"/>
    <w:link w:val="7"/>
    <w:qFormat/>
    <w:uiPriority w:val="0"/>
    <w:rPr>
      <w:rFonts w:eastAsia="宋体"/>
      <w:sz w:val="24"/>
      <w:szCs w:val="21"/>
      <w:lang w:val="en-US" w:eastAsia="zh-CN" w:bidi="ar-SA"/>
    </w:rPr>
  </w:style>
  <w:style w:type="character" w:customStyle="1" w:styleId="28">
    <w:name w:val="页脚 字符"/>
    <w:link w:val="12"/>
    <w:qFormat/>
    <w:uiPriority w:val="99"/>
    <w:rPr>
      <w:kern w:val="2"/>
      <w:sz w:val="18"/>
    </w:rPr>
  </w:style>
  <w:style w:type="character" w:customStyle="1" w:styleId="29">
    <w:name w:val="D3 Char Char"/>
    <w:link w:val="30"/>
    <w:qFormat/>
    <w:uiPriority w:val="0"/>
    <w:rPr>
      <w:rFonts w:ascii="EU-F1" w:eastAsia="黑体"/>
      <w:bCs/>
      <w:kern w:val="2"/>
      <w:sz w:val="21"/>
      <w:szCs w:val="21"/>
      <w:lang w:val="en-US" w:eastAsia="zh-CN" w:bidi="ar-SA"/>
    </w:rPr>
  </w:style>
  <w:style w:type="paragraph" w:customStyle="1" w:styleId="30">
    <w:name w:val="D3"/>
    <w:basedOn w:val="5"/>
    <w:link w:val="29"/>
    <w:qFormat/>
    <w:uiPriority w:val="0"/>
    <w:pPr>
      <w:keepLines/>
      <w:widowControl w:val="0"/>
      <w:overflowPunct/>
      <w:topLinePunct/>
      <w:autoSpaceDE/>
      <w:autoSpaceDN/>
      <w:adjustRightInd/>
      <w:spacing w:line="312" w:lineRule="exact"/>
      <w:ind w:firstLine="0"/>
      <w:textAlignment w:val="auto"/>
    </w:pPr>
    <w:rPr>
      <w:rFonts w:ascii="EU-F1"/>
      <w:bCs/>
      <w:kern w:val="2"/>
    </w:rPr>
  </w:style>
  <w:style w:type="character" w:customStyle="1" w:styleId="31">
    <w:name w:val="表头 Char"/>
    <w:link w:val="32"/>
    <w:qFormat/>
    <w:uiPriority w:val="0"/>
    <w:rPr>
      <w:rFonts w:ascii="EU-F1" w:eastAsia="黑体"/>
      <w:kern w:val="2"/>
      <w:sz w:val="21"/>
      <w:szCs w:val="21"/>
      <w:lang w:val="en-US" w:eastAsia="zh-CN" w:bidi="ar-SA"/>
    </w:rPr>
  </w:style>
  <w:style w:type="paragraph" w:customStyle="1" w:styleId="32">
    <w:name w:val="表头"/>
    <w:basedOn w:val="1"/>
    <w:link w:val="31"/>
    <w:qFormat/>
    <w:uiPriority w:val="0"/>
    <w:pPr>
      <w:spacing w:before="160" w:beforeLines="0" w:after="60" w:afterLines="0" w:line="312" w:lineRule="exact"/>
      <w:jc w:val="center"/>
    </w:pPr>
    <w:rPr>
      <w:rFonts w:ascii="EU-F1" w:eastAsia="黑体"/>
      <w:szCs w:val="21"/>
    </w:rPr>
  </w:style>
  <w:style w:type="paragraph" w:customStyle="1" w:styleId="33">
    <w:name w:val="xl50"/>
    <w:basedOn w:val="1"/>
    <w:qFormat/>
    <w:uiPriority w:val="0"/>
    <w:pPr>
      <w:widowControl/>
      <w:spacing w:before="100" w:beforeAutospacing="1" w:after="100" w:afterAutospacing="1"/>
      <w:jc w:val="center"/>
    </w:pPr>
    <w:rPr>
      <w:rFonts w:ascii="宋体" w:hAnsi="宋体"/>
      <w:kern w:val="0"/>
      <w:sz w:val="24"/>
      <w:szCs w:val="20"/>
    </w:rPr>
  </w:style>
  <w:style w:type="paragraph" w:customStyle="1" w:styleId="34">
    <w:name w:val="p0"/>
    <w:basedOn w:val="1"/>
    <w:qFormat/>
    <w:uiPriority w:val="0"/>
    <w:pPr>
      <w:widowControl/>
    </w:pPr>
    <w:rPr>
      <w:kern w:val="0"/>
      <w:szCs w:val="21"/>
    </w:rPr>
  </w:style>
  <w:style w:type="paragraph" w:customStyle="1" w:styleId="35">
    <w:name w:val="_Style 3"/>
    <w:basedOn w:val="1"/>
    <w:next w:val="1"/>
    <w:qFormat/>
    <w:uiPriority w:val="0"/>
    <w:rPr>
      <w:szCs w:val="20"/>
    </w:rPr>
  </w:style>
  <w:style w:type="paragraph" w:customStyle="1" w:styleId="36">
    <w:name w:val="普通正文"/>
    <w:basedOn w:val="1"/>
    <w:next w:val="37"/>
    <w:qFormat/>
    <w:uiPriority w:val="99"/>
    <w:pPr>
      <w:widowControl/>
      <w:spacing w:line="360" w:lineRule="auto"/>
    </w:pPr>
    <w:rPr>
      <w:color w:val="000000"/>
      <w:sz w:val="24"/>
    </w:rPr>
  </w:style>
  <w:style w:type="paragraph" w:customStyle="1" w:styleId="37">
    <w:name w:val="xl92"/>
    <w:basedOn w:val="1"/>
    <w:next w:val="38"/>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sz w:val="16"/>
    </w:rPr>
  </w:style>
  <w:style w:type="paragraph" w:customStyle="1" w:styleId="38">
    <w:name w:val="样式 标题 2 + Times New Roman 四号 非加粗 段前: 5 磅 段后: 0 磅 行距: 固定值 20..."/>
    <w:basedOn w:val="5"/>
    <w:next w:val="39"/>
    <w:qFormat/>
    <w:uiPriority w:val="0"/>
    <w:pPr>
      <w:spacing w:line="400" w:lineRule="exact"/>
    </w:pPr>
    <w:rPr>
      <w:rFonts w:ascii="Times New Roman" w:hAnsi="Times New Roman"/>
      <w:sz w:val="28"/>
    </w:rPr>
  </w:style>
  <w:style w:type="paragraph" w:customStyle="1" w:styleId="39">
    <w:name w:val="正文文本缩进 Char Char"/>
    <w:basedOn w:val="1"/>
    <w:next w:val="40"/>
    <w:qFormat/>
    <w:uiPriority w:val="0"/>
    <w:pPr>
      <w:spacing w:after="120"/>
      <w:ind w:left="420" w:firstLine="3584"/>
    </w:pPr>
  </w:style>
  <w:style w:type="paragraph" w:customStyle="1" w:styleId="40">
    <w:name w:val="xl100"/>
    <w:basedOn w:val="1"/>
    <w:next w:val="4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方正仿宋_GBK" w:eastAsia="方正仿宋_GBK"/>
      <w:sz w:val="20"/>
    </w:rPr>
  </w:style>
  <w:style w:type="paragraph" w:customStyle="1" w:styleId="41">
    <w:name w:val="嘉祥正文"/>
    <w:basedOn w:val="1"/>
    <w:next w:val="35"/>
    <w:qFormat/>
    <w:uiPriority w:val="0"/>
    <w:pPr>
      <w:widowControl/>
      <w:spacing w:line="360" w:lineRule="auto"/>
      <w:ind w:left="560" w:firstLine="3632"/>
    </w:pPr>
  </w:style>
  <w:style w:type="paragraph" w:customStyle="1" w:styleId="42">
    <w:name w:val="WPSOffice手动目录 1"/>
    <w:qFormat/>
    <w:uiPriority w:val="0"/>
    <w:pPr>
      <w:ind w:leftChars="0"/>
    </w:pPr>
    <w:rPr>
      <w:rFonts w:ascii="Times New Roman" w:hAnsi="Times New Roman" w:eastAsia="宋体" w:cs="Times New Roman"/>
      <w:sz w:val="20"/>
      <w:szCs w:val="20"/>
    </w:rPr>
  </w:style>
  <w:style w:type="paragraph" w:customStyle="1" w:styleId="43">
    <w:name w:val="Table Paragraph"/>
    <w:basedOn w:val="1"/>
    <w:qFormat/>
    <w:uiPriority w:val="1"/>
  </w:style>
  <w:style w:type="paragraph" w:customStyle="1" w:styleId="44">
    <w:name w:val="二级无标题条"/>
    <w:basedOn w:val="1"/>
    <w:qFormat/>
    <w:uiPriority w:val="0"/>
    <w:rPr>
      <w:b/>
      <w:szCs w:val="20"/>
    </w:rPr>
  </w:style>
  <w:style w:type="paragraph" w:customStyle="1" w:styleId="45">
    <w:name w:val="表头  居中"/>
    <w:qFormat/>
    <w:uiPriority w:val="0"/>
    <w:pPr>
      <w:spacing w:before="200" w:after="100" w:line="260" w:lineRule="exact"/>
      <w:jc w:val="center"/>
    </w:pPr>
    <w:rPr>
      <w:rFonts w:ascii="方正小标宋_GBK" w:hAnsi="Times New Roman" w:eastAsia="黑体" w:cs="Times New Roman"/>
      <w:bCs/>
      <w:kern w:val="2"/>
      <w:sz w:val="18"/>
      <w:szCs w:val="18"/>
      <w:lang w:val="en-US" w:eastAsia="zh-CN" w:bidi="ar-SA"/>
    </w:rPr>
  </w:style>
  <w:style w:type="paragraph" w:customStyle="1" w:styleId="46">
    <w:name w:val="p15"/>
    <w:basedOn w:val="1"/>
    <w:qFormat/>
    <w:uiPriority w:val="0"/>
    <w:pPr>
      <w:widowControl/>
      <w:jc w:val="left"/>
    </w:pPr>
    <w:rPr>
      <w:kern w:val="0"/>
      <w:sz w:val="22"/>
      <w:szCs w:val="22"/>
    </w:rPr>
  </w:style>
  <w:style w:type="table" w:customStyle="1" w:styleId="47">
    <w:name w:val="Table Normal"/>
    <w:unhideWhenUsed/>
    <w:qFormat/>
    <w:uiPriority w:val="2"/>
    <w:tblPr>
      <w:tblCellMar>
        <w:top w:w="0" w:type="dxa"/>
        <w:left w:w="0" w:type="dxa"/>
        <w:bottom w:w="0" w:type="dxa"/>
        <w:right w:w="0" w:type="dxa"/>
      </w:tblCellMar>
    </w:tblPr>
  </w:style>
  <w:style w:type="paragraph" w:customStyle="1" w:styleId="48">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styleId="49">
    <w:name w:val="List Paragraph"/>
    <w:basedOn w:val="1"/>
    <w:qFormat/>
    <w:uiPriority w:val="0"/>
    <w:pPr>
      <w:ind w:firstLine="420" w:firstLineChars="200"/>
    </w:pPr>
  </w:style>
  <w:style w:type="paragraph" w:customStyle="1" w:styleId="50">
    <w:name w:val="正文表标题"/>
    <w:next w:val="48"/>
    <w:qFormat/>
    <w:uiPriority w:val="0"/>
    <w:pPr>
      <w:jc w:val="center"/>
    </w:pPr>
    <w:rPr>
      <w:rFonts w:ascii="黑体" w:hAnsi="Times New Roman" w:eastAsia="黑体" w:cs="Times New Roman"/>
      <w:sz w:val="21"/>
      <w:lang w:val="en-US" w:eastAsia="zh-CN" w:bidi="ar-SA"/>
    </w:rPr>
  </w:style>
  <w:style w:type="paragraph" w:customStyle="1" w:styleId="51">
    <w:name w:val="一级条标题"/>
    <w:basedOn w:val="52"/>
    <w:next w:val="48"/>
    <w:qFormat/>
    <w:uiPriority w:val="0"/>
    <w:pPr>
      <w:numPr>
        <w:ilvl w:val="2"/>
        <w:numId w:val="1"/>
      </w:numPr>
      <w:spacing w:beforeLines="0" w:afterLines="0"/>
      <w:outlineLvl w:val="2"/>
    </w:pPr>
  </w:style>
  <w:style w:type="paragraph" w:customStyle="1" w:styleId="52">
    <w:name w:val="章标题"/>
    <w:next w:val="48"/>
    <w:qFormat/>
    <w:uiPriority w:val="99"/>
    <w:pPr>
      <w:spacing w:beforeLines="50" w:afterLines="50"/>
      <w:jc w:val="both"/>
      <w:outlineLvl w:val="1"/>
    </w:pPr>
    <w:rPr>
      <w:rFonts w:ascii="黑体" w:hAnsi="Times New Roman" w:eastAsia="黑体" w:cs="Times New Roman"/>
      <w:sz w:val="21"/>
      <w:lang w:val="en-US" w:eastAsia="zh-CN" w:bidi="ar-SA"/>
    </w:rPr>
  </w:style>
  <w:style w:type="paragraph" w:customStyle="1" w:styleId="53">
    <w:name w:val="二级条标题"/>
    <w:basedOn w:val="51"/>
    <w:next w:val="48"/>
    <w:qFormat/>
    <w:uiPriority w:val="0"/>
    <w:pPr>
      <w:numPr>
        <w:ilvl w:val="3"/>
      </w:numPr>
      <w:outlineLvl w:val="3"/>
    </w:pPr>
  </w:style>
  <w:style w:type="paragraph" w:customStyle="1" w:styleId="54">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5771</Words>
  <Characters>6943</Characters>
  <Lines>11</Lines>
  <Paragraphs>3</Paragraphs>
  <TotalTime>0</TotalTime>
  <ScaleCrop>false</ScaleCrop>
  <LinksUpToDate>false</LinksUpToDate>
  <CharactersWithSpaces>7196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2019-09-10T07:18:00Z</dcterms:created>
  <dc:creator>gln</dc:creator>
  <cp:lastModifiedBy>欧哲章</cp:lastModifiedBy>
  <dcterms:modified xsi:type="dcterms:W3CDTF">2025-07-18T09:30:04Z</dcterms:modified>
  <dc:title>国家电网公司集中规模招标采购</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B949B5CD82624D099545B4F9B580FB19</vt:lpwstr>
  </property>
  <property fmtid="{D5CDD505-2E9C-101B-9397-08002B2CF9AE}" pid="4" name="KSOTemplateDocerSaveRecord">
    <vt:lpwstr>eyJoZGlkIjoiOTc3M2Y5NzIzMDFlZjAyY2Q4Njk5ODkyYjFjNzBiNTQiLCJ1c2VySWQiOiIzNjk1MTI5NDYifQ==</vt:lpwstr>
  </property>
</Properties>
</file>